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FD5B4" w14:textId="6DF58681" w:rsidR="00C43F28" w:rsidRPr="005A2A06" w:rsidRDefault="00923AA4" w:rsidP="005A2A06">
      <w:pPr>
        <w:spacing w:before="200"/>
        <w:rPr>
          <w:b/>
          <w:bCs/>
          <w:sz w:val="32"/>
          <w:szCs w:val="32"/>
        </w:rPr>
      </w:pPr>
      <w:r w:rsidRPr="005A2A06">
        <w:rPr>
          <w:b/>
          <w:bCs/>
          <w:noProof/>
          <w:sz w:val="32"/>
          <w:szCs w:val="32"/>
        </w:rPr>
        <w:t>Touring Queen</w:t>
      </w:r>
      <w:r w:rsidR="00EE5DC8" w:rsidRPr="005A2A06">
        <w:rPr>
          <w:b/>
          <w:bCs/>
          <w:noProof/>
          <w:sz w:val="32"/>
          <w:szCs w:val="32"/>
        </w:rPr>
        <w:t>sland</w:t>
      </w:r>
      <w:r w:rsidR="00913085" w:rsidRPr="005A2A06">
        <w:rPr>
          <w:b/>
          <w:bCs/>
          <w:sz w:val="32"/>
          <w:szCs w:val="32"/>
        </w:rPr>
        <w:t xml:space="preserve"> </w:t>
      </w:r>
      <w:r w:rsidRPr="005A2A06">
        <w:rPr>
          <w:b/>
          <w:bCs/>
          <w:sz w:val="32"/>
          <w:szCs w:val="32"/>
        </w:rPr>
        <w:t xml:space="preserve">Fund </w:t>
      </w:r>
      <w:r w:rsidR="00913085" w:rsidRPr="005A2A06">
        <w:rPr>
          <w:b/>
          <w:bCs/>
          <w:sz w:val="32"/>
          <w:szCs w:val="32"/>
        </w:rPr>
        <w:t>- Guidelines</w:t>
      </w:r>
    </w:p>
    <w:p w14:paraId="2DBFC9A7" w14:textId="34B0472E" w:rsidR="00E8320D" w:rsidRDefault="00317581">
      <w:pPr>
        <w:spacing w:after="0"/>
      </w:pPr>
      <w:r>
        <w:t>T</w:t>
      </w:r>
      <w:r w:rsidR="00CB29E8">
        <w:t xml:space="preserve">he </w:t>
      </w:r>
      <w:r w:rsidR="009C75B8">
        <w:t xml:space="preserve">Touring Queensland Fund </w:t>
      </w:r>
      <w:r w:rsidR="00CB29E8">
        <w:t xml:space="preserve">(the Fund) </w:t>
      </w:r>
      <w:r w:rsidR="009C75B8">
        <w:t xml:space="preserve">is a </w:t>
      </w:r>
      <w:r w:rsidR="00E8320D">
        <w:t xml:space="preserve">key program of the Queensland Government’s </w:t>
      </w:r>
      <w:bookmarkStart w:id="0" w:name="_Hlk114561972"/>
      <w:r w:rsidR="00CB29E8">
        <w:fldChar w:fldCharType="begin"/>
      </w:r>
      <w:r w:rsidR="00CB29E8">
        <w:instrText xml:space="preserve"> HYPERLINK "https://www.arts.qld.gov.au/images/documents/artsqld/creativetogether/Grow-2022-2026-action-plan.pdf" </w:instrText>
      </w:r>
      <w:r w:rsidR="00CB29E8">
        <w:fldChar w:fldCharType="separate"/>
      </w:r>
      <w:r w:rsidR="00CB29E8" w:rsidRPr="0052545D">
        <w:rPr>
          <w:rStyle w:val="Hyperlink"/>
          <w:i/>
          <w:iCs/>
        </w:rPr>
        <w:t>Grow 2022-2026</w:t>
      </w:r>
      <w:r w:rsidR="00CB29E8">
        <w:rPr>
          <w:rStyle w:val="Hyperlink"/>
          <w:i/>
          <w:iCs/>
        </w:rPr>
        <w:fldChar w:fldCharType="end"/>
      </w:r>
      <w:bookmarkEnd w:id="0"/>
      <w:r w:rsidR="00E8320D">
        <w:t xml:space="preserve">, the second action plan for </w:t>
      </w:r>
      <w:bookmarkStart w:id="1" w:name="_Hlk114561980"/>
      <w:r w:rsidR="00F80347">
        <w:rPr>
          <w:rStyle w:val="Hyperlink"/>
          <w:i/>
        </w:rPr>
        <w:fldChar w:fldCharType="begin"/>
      </w:r>
      <w:r w:rsidR="00F80347">
        <w:rPr>
          <w:rStyle w:val="Hyperlink"/>
          <w:i/>
        </w:rPr>
        <w:instrText xml:space="preserve"> HYPERLINK "https://www.arts.qld.gov.au/creative-together" </w:instrText>
      </w:r>
      <w:r w:rsidR="00F80347">
        <w:rPr>
          <w:rStyle w:val="Hyperlink"/>
          <w:i/>
        </w:rPr>
      </w:r>
      <w:r w:rsidR="00F80347">
        <w:rPr>
          <w:rStyle w:val="Hyperlink"/>
          <w:i/>
        </w:rPr>
        <w:fldChar w:fldCharType="separate"/>
      </w:r>
      <w:r w:rsidR="00CB29E8" w:rsidRPr="00F80347">
        <w:rPr>
          <w:rStyle w:val="Hyperlink"/>
          <w:i/>
        </w:rPr>
        <w:t>Creative Together 2020-2030</w:t>
      </w:r>
      <w:bookmarkEnd w:id="1"/>
      <w:r w:rsidR="00F80347">
        <w:rPr>
          <w:rStyle w:val="Hyperlink"/>
          <w:i/>
        </w:rPr>
        <w:fldChar w:fldCharType="end"/>
      </w:r>
      <w:r w:rsidR="00654A1C">
        <w:t xml:space="preserve">, </w:t>
      </w:r>
      <w:r w:rsidR="009C75B8">
        <w:t>which is</w:t>
      </w:r>
      <w:r w:rsidR="00C145DE">
        <w:t xml:space="preserve"> focused on </w:t>
      </w:r>
      <w:r w:rsidR="00E8320D">
        <w:t>support</w:t>
      </w:r>
      <w:r w:rsidR="00C145DE">
        <w:t>ing</w:t>
      </w:r>
      <w:r w:rsidR="00E8320D">
        <w:t xml:space="preserve"> </w:t>
      </w:r>
      <w:r w:rsidR="00654A1C">
        <w:t xml:space="preserve">regional </w:t>
      </w:r>
      <w:r w:rsidR="00E8320D">
        <w:t>communit</w:t>
      </w:r>
      <w:r w:rsidR="008B1B86">
        <w:t>ies’</w:t>
      </w:r>
      <w:r w:rsidR="00E8320D">
        <w:t xml:space="preserve"> access to</w:t>
      </w:r>
      <w:r w:rsidR="008B1B86">
        <w:t xml:space="preserve"> high</w:t>
      </w:r>
      <w:r w:rsidR="00E8320D">
        <w:t xml:space="preserve"> </w:t>
      </w:r>
      <w:r w:rsidR="00654A1C">
        <w:t xml:space="preserve">quality </w:t>
      </w:r>
      <w:r w:rsidR="00E8320D">
        <w:t xml:space="preserve">arts and cultural </w:t>
      </w:r>
      <w:r w:rsidR="008B1B86">
        <w:t>products and events</w:t>
      </w:r>
      <w:r w:rsidR="005A10D1">
        <w:t>, including music gigs</w:t>
      </w:r>
      <w:r w:rsidR="008B1B86">
        <w:t xml:space="preserve">. </w:t>
      </w:r>
    </w:p>
    <w:p w14:paraId="1C1C36EB" w14:textId="77777777" w:rsidR="001D3484" w:rsidRDefault="001D3484" w:rsidP="00545045">
      <w:pPr>
        <w:spacing w:after="0"/>
      </w:pPr>
    </w:p>
    <w:p w14:paraId="5AA32892" w14:textId="34A3AC6B" w:rsidR="00250B93" w:rsidRPr="005A2A06" w:rsidRDefault="00250B93" w:rsidP="00250B93">
      <w:pPr>
        <w:pBdr>
          <w:bottom w:val="single" w:sz="12" w:space="1" w:color="368A56"/>
        </w:pBdr>
        <w:rPr>
          <w:b/>
          <w:bCs/>
          <w:sz w:val="24"/>
          <w:szCs w:val="24"/>
        </w:rPr>
      </w:pPr>
      <w:bookmarkStart w:id="2" w:name="_Hlk113625127"/>
      <w:r w:rsidRPr="005A2A06">
        <w:rPr>
          <w:b/>
          <w:bCs/>
          <w:sz w:val="24"/>
          <w:szCs w:val="24"/>
        </w:rPr>
        <w:t>Fund objectives</w:t>
      </w:r>
    </w:p>
    <w:p w14:paraId="5D59C314" w14:textId="15F894C9" w:rsidR="000B2085" w:rsidRDefault="000B2085" w:rsidP="00EE05E0">
      <w:pPr>
        <w:spacing w:after="0"/>
      </w:pPr>
      <w:bookmarkStart w:id="3" w:name="_Hlk142647080"/>
      <w:r>
        <w:t>The objectives of the Touring Queensland Fund are to:</w:t>
      </w:r>
    </w:p>
    <w:bookmarkEnd w:id="3"/>
    <w:p w14:paraId="40585037" w14:textId="5E5FA912" w:rsidR="00250B93" w:rsidRPr="00712490" w:rsidRDefault="00250B93" w:rsidP="00250B93">
      <w:pPr>
        <w:pStyle w:val="ListParagraph"/>
        <w:numPr>
          <w:ilvl w:val="0"/>
          <w:numId w:val="12"/>
        </w:numPr>
      </w:pPr>
      <w:r w:rsidRPr="00712490">
        <w:t>Support</w:t>
      </w:r>
      <w:r>
        <w:t xml:space="preserve"> arts presenters and producers in</w:t>
      </w:r>
      <w:r w:rsidRPr="00712490">
        <w:t xml:space="preserve"> the delivery of touring</w:t>
      </w:r>
      <w:r>
        <w:t xml:space="preserve"> arts and cultural experiences</w:t>
      </w:r>
      <w:r w:rsidR="000520EB">
        <w:t>,</w:t>
      </w:r>
      <w:r>
        <w:t xml:space="preserve"> </w:t>
      </w:r>
      <w:r w:rsidR="005A10D1">
        <w:br/>
        <w:t xml:space="preserve">including </w:t>
      </w:r>
      <w:r>
        <w:t>gigs</w:t>
      </w:r>
      <w:r w:rsidR="005A10D1">
        <w:t>,</w:t>
      </w:r>
      <w:r>
        <w:t xml:space="preserve"> in a range of places including halls, libraries, galleries, performing arts venues, </w:t>
      </w:r>
      <w:r w:rsidR="005A10D1">
        <w:t xml:space="preserve">music venues, </w:t>
      </w:r>
      <w:r>
        <w:t>schools and non-traditional spaces</w:t>
      </w:r>
      <w:r w:rsidRPr="00712490">
        <w:t xml:space="preserve"> within and across Queensland communities </w:t>
      </w:r>
    </w:p>
    <w:p w14:paraId="170A2C65" w14:textId="77777777" w:rsidR="00250B93" w:rsidRPr="00712490" w:rsidRDefault="00250B93" w:rsidP="00250B93">
      <w:pPr>
        <w:pStyle w:val="ListParagraph"/>
        <w:numPr>
          <w:ilvl w:val="0"/>
          <w:numId w:val="12"/>
        </w:numPr>
      </w:pPr>
      <w:r w:rsidRPr="00712490">
        <w:t xml:space="preserve">Grow audience access to </w:t>
      </w:r>
      <w:r w:rsidRPr="00BA6DD0">
        <w:t>and demand for</w:t>
      </w:r>
      <w:r w:rsidRPr="00712490">
        <w:t xml:space="preserve"> exceptional and diverse arts</w:t>
      </w:r>
      <w:r>
        <w:t xml:space="preserve"> </w:t>
      </w:r>
      <w:r w:rsidRPr="00712490">
        <w:t>experiences</w:t>
      </w:r>
    </w:p>
    <w:p w14:paraId="7C55CD12" w14:textId="77777777" w:rsidR="00250B93" w:rsidRPr="00BA6DD0" w:rsidRDefault="00250B93" w:rsidP="00250B93">
      <w:pPr>
        <w:pStyle w:val="ListParagraph"/>
        <w:numPr>
          <w:ilvl w:val="0"/>
          <w:numId w:val="12"/>
        </w:numPr>
      </w:pPr>
      <w:r w:rsidRPr="00BA6DD0">
        <w:t xml:space="preserve">Enable audience development within </w:t>
      </w:r>
      <w:r>
        <w:t>regions</w:t>
      </w:r>
      <w:r w:rsidRPr="00BA6DD0">
        <w:t>, for an artist, organisation</w:t>
      </w:r>
      <w:r>
        <w:t xml:space="preserve"> and/or</w:t>
      </w:r>
      <w:r w:rsidRPr="00BA6DD0">
        <w:t xml:space="preserve"> artform through touring activity</w:t>
      </w:r>
    </w:p>
    <w:p w14:paraId="02A91617" w14:textId="030345CC" w:rsidR="00250B93" w:rsidRDefault="00250B93" w:rsidP="00250B93">
      <w:pPr>
        <w:pStyle w:val="ListParagraph"/>
        <w:numPr>
          <w:ilvl w:val="0"/>
          <w:numId w:val="12"/>
        </w:numPr>
      </w:pPr>
      <w:r w:rsidRPr="00BA6DD0">
        <w:t>Increase diverse programming, including First Nations</w:t>
      </w:r>
      <w:r>
        <w:t xml:space="preserve"> arts, contemporary music</w:t>
      </w:r>
      <w:r w:rsidR="0074297B">
        <w:t>,</w:t>
      </w:r>
      <w:r w:rsidRPr="00BA6DD0">
        <w:t xml:space="preserve"> and </w:t>
      </w:r>
      <w:r w:rsidR="000520EB">
        <w:t>inclusive</w:t>
      </w:r>
      <w:r w:rsidR="000520EB" w:rsidRPr="00BA6DD0">
        <w:t xml:space="preserve"> </w:t>
      </w:r>
      <w:r w:rsidRPr="00BA6DD0">
        <w:t xml:space="preserve">arts, and drive </w:t>
      </w:r>
      <w:r w:rsidR="000520EB">
        <w:t xml:space="preserve">regionally based </w:t>
      </w:r>
      <w:r w:rsidRPr="00BA6DD0">
        <w:t xml:space="preserve">company touring into new locations </w:t>
      </w:r>
      <w:r w:rsidR="000520EB">
        <w:t>including Brisbane.</w:t>
      </w:r>
    </w:p>
    <w:p w14:paraId="39119034" w14:textId="4FE8718B" w:rsidR="00EE3DA5" w:rsidRPr="00712490" w:rsidRDefault="00250B93" w:rsidP="000B2085">
      <w:pPr>
        <w:pStyle w:val="ListParagraph"/>
        <w:numPr>
          <w:ilvl w:val="0"/>
          <w:numId w:val="12"/>
        </w:numPr>
      </w:pPr>
      <w:r w:rsidRPr="00712490">
        <w:t>Provide new employment and career development opportunities for Queensland artists and organisations</w:t>
      </w:r>
      <w:r w:rsidR="002D7015">
        <w:t>.</w:t>
      </w:r>
    </w:p>
    <w:p w14:paraId="506C139A" w14:textId="74DD84B9" w:rsidR="003110CF" w:rsidRPr="005A2A06" w:rsidRDefault="00913085" w:rsidP="005A2A06">
      <w:pPr>
        <w:pBdr>
          <w:bottom w:val="single" w:sz="12" w:space="1" w:color="368A56"/>
        </w:pBdr>
        <w:rPr>
          <w:b/>
          <w:bCs/>
          <w:sz w:val="24"/>
          <w:szCs w:val="24"/>
        </w:rPr>
      </w:pPr>
      <w:r w:rsidRPr="005A2A06">
        <w:rPr>
          <w:b/>
          <w:bCs/>
          <w:sz w:val="24"/>
          <w:szCs w:val="24"/>
        </w:rPr>
        <w:t>What the funding</w:t>
      </w:r>
      <w:r w:rsidR="005B5F25" w:rsidRPr="005A2A06">
        <w:rPr>
          <w:b/>
          <w:bCs/>
          <w:sz w:val="24"/>
          <w:szCs w:val="24"/>
        </w:rPr>
        <w:t xml:space="preserve"> can</w:t>
      </w:r>
      <w:r w:rsidRPr="005A2A06">
        <w:rPr>
          <w:b/>
          <w:bCs/>
          <w:sz w:val="24"/>
          <w:szCs w:val="24"/>
        </w:rPr>
        <w:t xml:space="preserve"> be used for</w:t>
      </w:r>
    </w:p>
    <w:p w14:paraId="658E9859" w14:textId="48E8853D" w:rsidR="00FB7D58" w:rsidRDefault="00A77FD3" w:rsidP="00A77FD3">
      <w:bookmarkStart w:id="4" w:name="_Hlk116534300"/>
      <w:r>
        <w:t xml:space="preserve">The Fund supports </w:t>
      </w:r>
      <w:r w:rsidR="008B1B86">
        <w:t xml:space="preserve">regional </w:t>
      </w:r>
      <w:r>
        <w:t>arts touring within and across Queensland</w:t>
      </w:r>
      <w:r w:rsidR="008B1B86">
        <w:t>;</w:t>
      </w:r>
      <w:r w:rsidR="00BC2C91">
        <w:t xml:space="preserve"> assisting with costs </w:t>
      </w:r>
      <w:r w:rsidR="00D90880">
        <w:t>including</w:t>
      </w:r>
      <w:r w:rsidR="00593ECC">
        <w:t xml:space="preserve"> brokering and </w:t>
      </w:r>
      <w:r w:rsidR="00DC0304">
        <w:t xml:space="preserve">tour </w:t>
      </w:r>
      <w:r w:rsidR="00593ECC">
        <w:t xml:space="preserve">management, </w:t>
      </w:r>
      <w:r w:rsidR="00BC2C91">
        <w:t>travel</w:t>
      </w:r>
      <w:r w:rsidR="00593ECC">
        <w:t xml:space="preserve"> (including leaving or returning to Queensland if part of an interstate tour</w:t>
      </w:r>
      <w:r w:rsidR="00593ECC" w:rsidRPr="0046572A">
        <w:t>)</w:t>
      </w:r>
      <w:r w:rsidR="00BC2C91" w:rsidRPr="0046572A">
        <w:t xml:space="preserve">, freight, installation, </w:t>
      </w:r>
      <w:r w:rsidR="00DC0304" w:rsidRPr="0046572A">
        <w:t>technical support</w:t>
      </w:r>
      <w:r w:rsidR="00BC2C91" w:rsidRPr="0046572A">
        <w:t>,</w:t>
      </w:r>
      <w:r w:rsidR="00760714" w:rsidRPr="0046572A">
        <w:t xml:space="preserve"> equipment </w:t>
      </w:r>
      <w:r w:rsidR="008B1B86" w:rsidRPr="0046572A">
        <w:t>hires</w:t>
      </w:r>
      <w:r w:rsidR="00FB7D58" w:rsidRPr="0046572A">
        <w:t>,</w:t>
      </w:r>
      <w:r w:rsidR="00BC2C91" w:rsidRPr="0046572A">
        <w:t xml:space="preserve"> and community engagement activities.</w:t>
      </w:r>
      <w:r w:rsidR="00CB0D57" w:rsidRPr="0046572A">
        <w:t xml:space="preserve"> The Fund supports </w:t>
      </w:r>
      <w:r w:rsidR="00E207C5" w:rsidRPr="0046572A">
        <w:t xml:space="preserve">the </w:t>
      </w:r>
      <w:r w:rsidR="00F0590F" w:rsidRPr="0046572A">
        <w:t xml:space="preserve">touring </w:t>
      </w:r>
      <w:r w:rsidR="00E207C5" w:rsidRPr="0046572A">
        <w:t xml:space="preserve">of </w:t>
      </w:r>
      <w:r w:rsidR="00AB3DE7" w:rsidRPr="0046572A">
        <w:t xml:space="preserve">all artforms within Arts Queensland’s remit including </w:t>
      </w:r>
      <w:r w:rsidR="00CB0D57" w:rsidRPr="0046572A">
        <w:t xml:space="preserve">performing arts, visual </w:t>
      </w:r>
      <w:r w:rsidR="00D43384" w:rsidRPr="0046572A">
        <w:t>arts,</w:t>
      </w:r>
      <w:r w:rsidR="00CB0D57" w:rsidRPr="0046572A">
        <w:t xml:space="preserve"> </w:t>
      </w:r>
      <w:r w:rsidR="0035264E" w:rsidRPr="0046572A">
        <w:t>contemporary music gigs</w:t>
      </w:r>
      <w:r w:rsidR="00F0590F" w:rsidRPr="0046572A">
        <w:t xml:space="preserve">, and </w:t>
      </w:r>
      <w:r w:rsidR="00CB0D57" w:rsidRPr="0046572A">
        <w:t>cultural heritage</w:t>
      </w:r>
      <w:r w:rsidR="00E207C5" w:rsidRPr="0046572A">
        <w:t xml:space="preserve"> activity</w:t>
      </w:r>
      <w:r w:rsidR="00CB0D57" w:rsidRPr="0046572A">
        <w:t>.</w:t>
      </w:r>
      <w:r w:rsidR="000D711A">
        <w:t xml:space="preserve"> </w:t>
      </w:r>
    </w:p>
    <w:bookmarkEnd w:id="4"/>
    <w:p w14:paraId="091BB5F8" w14:textId="77777777" w:rsidR="00FB7D58" w:rsidRDefault="00FB7D58" w:rsidP="00117C17">
      <w:pPr>
        <w:spacing w:after="40"/>
      </w:pPr>
      <w:r>
        <w:t>This fund has two streams:</w:t>
      </w:r>
    </w:p>
    <w:p w14:paraId="288C3240" w14:textId="71072EB1" w:rsidR="00A63865" w:rsidRPr="00712490" w:rsidRDefault="00FB7D58" w:rsidP="005A2A06">
      <w:pPr>
        <w:pStyle w:val="ListParagraph"/>
        <w:numPr>
          <w:ilvl w:val="0"/>
          <w:numId w:val="9"/>
        </w:numPr>
        <w:ind w:right="-1"/>
      </w:pPr>
      <w:r w:rsidRPr="00593ECC">
        <w:rPr>
          <w:b/>
          <w:bCs/>
        </w:rPr>
        <w:t>Single</w:t>
      </w:r>
      <w:r w:rsidR="001A15AB" w:rsidRPr="00593ECC">
        <w:rPr>
          <w:b/>
          <w:bCs/>
        </w:rPr>
        <w:t xml:space="preserve"> year</w:t>
      </w:r>
      <w:r w:rsidRPr="00593ECC">
        <w:rPr>
          <w:b/>
          <w:bCs/>
        </w:rPr>
        <w:t xml:space="preserve"> </w:t>
      </w:r>
      <w:r w:rsidR="00CB0D57">
        <w:rPr>
          <w:b/>
          <w:bCs/>
        </w:rPr>
        <w:t xml:space="preserve">&amp; single </w:t>
      </w:r>
      <w:r w:rsidRPr="00712490">
        <w:rPr>
          <w:b/>
          <w:bCs/>
        </w:rPr>
        <w:t>tour funding</w:t>
      </w:r>
      <w:r w:rsidRPr="00712490">
        <w:t xml:space="preserve"> </w:t>
      </w:r>
      <w:r w:rsidR="00C24C54" w:rsidRPr="00712490">
        <w:t>for</w:t>
      </w:r>
      <w:r w:rsidR="00CB0D57" w:rsidRPr="00712490">
        <w:t xml:space="preserve"> </w:t>
      </w:r>
      <w:r w:rsidR="00C36B74">
        <w:t xml:space="preserve">single </w:t>
      </w:r>
      <w:r w:rsidR="00D57B59">
        <w:t>tours</w:t>
      </w:r>
      <w:r w:rsidR="00C24C54" w:rsidRPr="00712490">
        <w:t xml:space="preserve"> </w:t>
      </w:r>
      <w:r w:rsidR="00B94737">
        <w:t xml:space="preserve">and </w:t>
      </w:r>
      <w:r w:rsidR="00C24C54" w:rsidRPr="00712490">
        <w:t xml:space="preserve">touring </w:t>
      </w:r>
      <w:r w:rsidR="00721F84" w:rsidRPr="00712490">
        <w:t>programs</w:t>
      </w:r>
      <w:r w:rsidR="00B94737">
        <w:t xml:space="preserve"> including schools touring (</w:t>
      </w:r>
      <w:r w:rsidR="00B94737" w:rsidRPr="00712490">
        <w:t>within a 12-month period</w:t>
      </w:r>
      <w:r w:rsidR="00B94737">
        <w:t xml:space="preserve">), </w:t>
      </w:r>
      <w:r w:rsidR="00CF282B">
        <w:t xml:space="preserve">and </w:t>
      </w:r>
      <w:r w:rsidR="00CF282B" w:rsidRPr="00712490">
        <w:t xml:space="preserve">single tours </w:t>
      </w:r>
      <w:r w:rsidRPr="00712490">
        <w:t>to present arts products and experiences across</w:t>
      </w:r>
      <w:r w:rsidR="00A63865" w:rsidRPr="00712490">
        <w:t xml:space="preserve"> </w:t>
      </w:r>
      <w:r w:rsidR="00721F84" w:rsidRPr="00712490">
        <w:t xml:space="preserve">Queensland </w:t>
      </w:r>
      <w:r w:rsidR="00A63865" w:rsidRPr="00712490">
        <w:t>touring circuits or regions</w:t>
      </w:r>
      <w:r w:rsidR="002D7015">
        <w:t>.</w:t>
      </w:r>
    </w:p>
    <w:p w14:paraId="10B5C3F0" w14:textId="5A1E189D" w:rsidR="001A15AB" w:rsidRPr="00712490" w:rsidRDefault="00E40A03" w:rsidP="00E85D92">
      <w:pPr>
        <w:pStyle w:val="ListParagraph"/>
        <w:numPr>
          <w:ilvl w:val="0"/>
          <w:numId w:val="9"/>
        </w:numPr>
      </w:pPr>
      <w:r>
        <w:rPr>
          <w:b/>
          <w:bCs/>
        </w:rPr>
        <w:t>Multi</w:t>
      </w:r>
      <w:r w:rsidR="003674BC">
        <w:rPr>
          <w:b/>
          <w:bCs/>
        </w:rPr>
        <w:t>-</w:t>
      </w:r>
      <w:r>
        <w:rPr>
          <w:b/>
          <w:bCs/>
        </w:rPr>
        <w:t>year</w:t>
      </w:r>
      <w:r w:rsidR="00A63865" w:rsidRPr="00712490">
        <w:rPr>
          <w:b/>
          <w:bCs/>
        </w:rPr>
        <w:t xml:space="preserve"> tour</w:t>
      </w:r>
      <w:r w:rsidR="00DE02CA">
        <w:rPr>
          <w:b/>
          <w:bCs/>
        </w:rPr>
        <w:t>ing</w:t>
      </w:r>
      <w:r w:rsidR="00A63865" w:rsidRPr="00712490">
        <w:rPr>
          <w:b/>
          <w:bCs/>
        </w:rPr>
        <w:t xml:space="preserve"> funding</w:t>
      </w:r>
      <w:r w:rsidR="00A63865" w:rsidRPr="00712490">
        <w:t xml:space="preserve"> </w:t>
      </w:r>
      <w:r w:rsidR="001A15AB" w:rsidRPr="00712490">
        <w:t>for touring programs</w:t>
      </w:r>
      <w:r w:rsidR="0035264E">
        <w:t xml:space="preserve"> that are not dedicated schools touring</w:t>
      </w:r>
      <w:r w:rsidR="001A15AB" w:rsidRPr="00712490">
        <w:t xml:space="preserve"> </w:t>
      </w:r>
      <w:r w:rsidR="001A28AB" w:rsidRPr="00712490">
        <w:t>within a 2-year period</w:t>
      </w:r>
      <w:r w:rsidR="00F95513">
        <w:t xml:space="preserve"> </w:t>
      </w:r>
      <w:r w:rsidR="001A15AB" w:rsidRPr="00712490">
        <w:t xml:space="preserve">that </w:t>
      </w:r>
      <w:r w:rsidR="006E1050" w:rsidRPr="00712490">
        <w:t xml:space="preserve">enhance community cultural calendars and </w:t>
      </w:r>
      <w:r w:rsidR="001A15AB" w:rsidRPr="00712490">
        <w:t xml:space="preserve">grow audiences for Queensland </w:t>
      </w:r>
      <w:r w:rsidR="007F67D7" w:rsidRPr="00712490">
        <w:t xml:space="preserve">artists and </w:t>
      </w:r>
      <w:r w:rsidR="001A15AB" w:rsidRPr="00712490">
        <w:t>arts</w:t>
      </w:r>
      <w:r w:rsidR="00C24C54" w:rsidRPr="00712490">
        <w:t xml:space="preserve"> organisations</w:t>
      </w:r>
      <w:r w:rsidR="001A15AB" w:rsidRPr="00712490">
        <w:t xml:space="preserve"> </w:t>
      </w:r>
      <w:r w:rsidR="006E1050" w:rsidRPr="00712490">
        <w:t>across or within regions</w:t>
      </w:r>
      <w:r w:rsidR="00CB0D57" w:rsidRPr="00712490">
        <w:t>.</w:t>
      </w:r>
      <w:r w:rsidR="00553269" w:rsidRPr="00712490">
        <w:t xml:space="preserve"> </w:t>
      </w:r>
    </w:p>
    <w:bookmarkEnd w:id="2"/>
    <w:p w14:paraId="13F4DD64" w14:textId="3D36958C" w:rsidR="00E120C1" w:rsidRDefault="00E120C1" w:rsidP="00E120C1">
      <w:r w:rsidRPr="00102476">
        <w:t>Funding will support tours within and between regions, touring from Brisbane to regional Queensland locations</w:t>
      </w:r>
      <w:r>
        <w:t>,</w:t>
      </w:r>
      <w:r w:rsidRPr="00102476">
        <w:t xml:space="preserve"> and tours from regionally based companies to Brisbane</w:t>
      </w:r>
      <w:r w:rsidR="00D27D36">
        <w:t>. Multi-Year funding will also support applications from</w:t>
      </w:r>
      <w:r w:rsidR="000B2085">
        <w:t xml:space="preserve"> consortia </w:t>
      </w:r>
      <w:r w:rsidR="00D27D36">
        <w:t>of venues</w:t>
      </w:r>
      <w:r w:rsidR="00FF61B0">
        <w:t xml:space="preserve"> or presenters</w:t>
      </w:r>
      <w:r w:rsidR="00D27D36">
        <w:t xml:space="preserve"> to support t</w:t>
      </w:r>
      <w:r w:rsidR="000D711A">
        <w:t xml:space="preserve">ouring circuits. </w:t>
      </w:r>
    </w:p>
    <w:p w14:paraId="63EA70BA" w14:textId="3ACE94C8" w:rsidR="008B1B86" w:rsidRDefault="008B1B86" w:rsidP="008B1B86">
      <w:r w:rsidRPr="00BF21D9">
        <w:rPr>
          <w:u w:val="single"/>
        </w:rPr>
        <w:t>Note</w:t>
      </w:r>
      <w:r w:rsidRPr="00BF21D9">
        <w:t xml:space="preserve">: </w:t>
      </w:r>
      <w:r w:rsidR="00AF09C9" w:rsidRPr="00BF21D9">
        <w:t>Touring Queensland Fund will only support sin</w:t>
      </w:r>
      <w:r w:rsidR="00EE4177" w:rsidRPr="00BF21D9">
        <w:t>g</w:t>
      </w:r>
      <w:r w:rsidR="00AF09C9" w:rsidRPr="00BF21D9">
        <w:t>l</w:t>
      </w:r>
      <w:r w:rsidR="00EE4177" w:rsidRPr="00BF21D9">
        <w:t>e</w:t>
      </w:r>
      <w:r w:rsidR="004F5E30">
        <w:t xml:space="preserve"> </w:t>
      </w:r>
      <w:r w:rsidR="00AF09C9" w:rsidRPr="00BF21D9">
        <w:t xml:space="preserve">year </w:t>
      </w:r>
      <w:r w:rsidR="004F5E30">
        <w:t xml:space="preserve">or single tour </w:t>
      </w:r>
      <w:r w:rsidR="00EE3DA5">
        <w:t xml:space="preserve">dedicated </w:t>
      </w:r>
      <w:r w:rsidR="00AF09C9" w:rsidRPr="00BF21D9">
        <w:t>schools touring projects.</w:t>
      </w:r>
      <w:r w:rsidR="00B81D42">
        <w:t xml:space="preserve"> </w:t>
      </w:r>
      <w:r w:rsidRPr="00BA6DD0">
        <w:t xml:space="preserve"> </w:t>
      </w:r>
    </w:p>
    <w:p w14:paraId="3FCDA070" w14:textId="0C882B9F" w:rsidR="001D3484" w:rsidRPr="005A2A06" w:rsidRDefault="001D3484" w:rsidP="005A2A06">
      <w:pPr>
        <w:pBdr>
          <w:bottom w:val="single" w:sz="12" w:space="1" w:color="368A56"/>
        </w:pBdr>
        <w:rPr>
          <w:b/>
          <w:bCs/>
          <w:sz w:val="24"/>
          <w:szCs w:val="24"/>
        </w:rPr>
      </w:pPr>
      <w:r w:rsidRPr="005A2A06">
        <w:rPr>
          <w:b/>
          <w:bCs/>
          <w:sz w:val="24"/>
          <w:szCs w:val="24"/>
        </w:rPr>
        <w:t>Funding available</w:t>
      </w:r>
    </w:p>
    <w:p w14:paraId="6A7E5800" w14:textId="57CF75E1" w:rsidR="00C24C54" w:rsidRDefault="001C4F32" w:rsidP="00D67027">
      <w:pPr>
        <w:spacing w:after="0"/>
      </w:pPr>
      <w:r>
        <w:t>For single year</w:t>
      </w:r>
      <w:r w:rsidR="00C36B74">
        <w:t xml:space="preserve"> touring programs</w:t>
      </w:r>
      <w:r>
        <w:t xml:space="preserve"> and single tour funding u</w:t>
      </w:r>
      <w:r w:rsidR="00C24C54">
        <w:t xml:space="preserve">p to </w:t>
      </w:r>
      <w:r w:rsidR="00C24C54" w:rsidRPr="00E120C1">
        <w:rPr>
          <w:b/>
          <w:bCs/>
        </w:rPr>
        <w:t>$100,000</w:t>
      </w:r>
      <w:r w:rsidR="00C24C54">
        <w:t xml:space="preserve"> for:</w:t>
      </w:r>
    </w:p>
    <w:p w14:paraId="749EE8DE" w14:textId="71373B6C" w:rsidR="00E120C1" w:rsidRDefault="00E120C1" w:rsidP="005A2A06">
      <w:pPr>
        <w:pStyle w:val="ListParagraph"/>
        <w:numPr>
          <w:ilvl w:val="0"/>
          <w:numId w:val="7"/>
        </w:numPr>
        <w:spacing w:after="120"/>
        <w:ind w:left="851" w:right="-1"/>
      </w:pPr>
      <w:r>
        <w:t>tour-ready perform</w:t>
      </w:r>
      <w:r w:rsidR="00E7114A">
        <w:t>ances</w:t>
      </w:r>
      <w:r>
        <w:t xml:space="preserve">, </w:t>
      </w:r>
      <w:r w:rsidR="00977261">
        <w:t xml:space="preserve">gigs, </w:t>
      </w:r>
      <w:r w:rsidR="00E7114A" w:rsidRPr="0046572A">
        <w:t>exhibitions</w:t>
      </w:r>
      <w:r w:rsidRPr="0046572A">
        <w:t xml:space="preserve">, </w:t>
      </w:r>
      <w:r w:rsidR="00D90880" w:rsidRPr="0046572A">
        <w:t>schools’</w:t>
      </w:r>
      <w:r w:rsidR="007F67D7" w:rsidRPr="0046572A">
        <w:t xml:space="preserve"> tours, </w:t>
      </w:r>
      <w:r w:rsidR="00F0590F" w:rsidRPr="0046572A">
        <w:t xml:space="preserve">events, and </w:t>
      </w:r>
      <w:r w:rsidR="00D43384" w:rsidRPr="0046572A">
        <w:t>workshops</w:t>
      </w:r>
      <w:r w:rsidR="00E7114A" w:rsidRPr="0046572A">
        <w:t xml:space="preserve"> (any art</w:t>
      </w:r>
      <w:r w:rsidR="009C3D93" w:rsidRPr="0046572A">
        <w:t xml:space="preserve"> </w:t>
      </w:r>
      <w:r w:rsidR="00E7114A" w:rsidRPr="0046572A">
        <w:t>form</w:t>
      </w:r>
      <w:r w:rsidR="00F0590F" w:rsidRPr="0046572A">
        <w:t xml:space="preserve"> that falls under Arts Queensland’s responsibility</w:t>
      </w:r>
      <w:r w:rsidR="00E7114A" w:rsidRPr="0046572A">
        <w:t>)</w:t>
      </w:r>
      <w:r w:rsidR="00D43384" w:rsidRPr="0046572A">
        <w:t>,</w:t>
      </w:r>
      <w:r w:rsidR="005B5F25" w:rsidRPr="0046572A">
        <w:t xml:space="preserve"> </w:t>
      </w:r>
      <w:r w:rsidRPr="0046572A">
        <w:t>and</w:t>
      </w:r>
      <w:r>
        <w:t xml:space="preserve"> for tour itineraries that include</w:t>
      </w:r>
      <w:r w:rsidR="00593ECC">
        <w:t xml:space="preserve"> at least </w:t>
      </w:r>
      <w:r w:rsidR="002D5313">
        <w:t>three</w:t>
      </w:r>
      <w:r w:rsidR="00593ECC">
        <w:t xml:space="preserve"> (</w:t>
      </w:r>
      <w:r w:rsidR="002D5313">
        <w:t>3</w:t>
      </w:r>
      <w:r w:rsidR="00593ECC">
        <w:t xml:space="preserve">) </w:t>
      </w:r>
      <w:r w:rsidR="001574BC">
        <w:t xml:space="preserve">touring </w:t>
      </w:r>
      <w:r w:rsidRPr="00593ECC">
        <w:t>l</w:t>
      </w:r>
      <w:r>
        <w:t>ocations within a 12-month period.</w:t>
      </w:r>
    </w:p>
    <w:p w14:paraId="76FA17E4" w14:textId="0E598EF3" w:rsidR="00E120C1" w:rsidRDefault="001C4F32" w:rsidP="00D67027">
      <w:pPr>
        <w:spacing w:after="0"/>
      </w:pPr>
      <w:r>
        <w:lastRenderedPageBreak/>
        <w:t xml:space="preserve">For </w:t>
      </w:r>
      <w:r w:rsidR="003674BC">
        <w:t>m</w:t>
      </w:r>
      <w:r w:rsidR="00E40A03">
        <w:t>ulti</w:t>
      </w:r>
      <w:r w:rsidR="003674BC">
        <w:t>-</w:t>
      </w:r>
      <w:r w:rsidR="00E40A03">
        <w:t>year</w:t>
      </w:r>
      <w:r w:rsidR="00317581">
        <w:t xml:space="preserve"> </w:t>
      </w:r>
      <w:r w:rsidR="00E40A03">
        <w:t>t</w:t>
      </w:r>
      <w:r>
        <w:t>ouring</w:t>
      </w:r>
      <w:r w:rsidR="00C36B74">
        <w:t xml:space="preserve"> program</w:t>
      </w:r>
      <w:r>
        <w:t xml:space="preserve"> funding u</w:t>
      </w:r>
      <w:r w:rsidR="00E120C1">
        <w:t xml:space="preserve">p to </w:t>
      </w:r>
      <w:r w:rsidR="00E120C1" w:rsidRPr="00E120C1">
        <w:rPr>
          <w:b/>
          <w:bCs/>
        </w:rPr>
        <w:t>$150,000</w:t>
      </w:r>
      <w:r w:rsidR="00553269">
        <w:rPr>
          <w:b/>
          <w:bCs/>
        </w:rPr>
        <w:t xml:space="preserve"> per annum</w:t>
      </w:r>
      <w:r w:rsidR="00E120C1">
        <w:t xml:space="preserve"> for</w:t>
      </w:r>
      <w:r w:rsidR="00865416">
        <w:t>:</w:t>
      </w:r>
    </w:p>
    <w:p w14:paraId="2BFCA4B5" w14:textId="2031824D" w:rsidR="00830D9B" w:rsidRDefault="00830D9B" w:rsidP="006D7515">
      <w:pPr>
        <w:pStyle w:val="ListParagraph"/>
        <w:numPr>
          <w:ilvl w:val="0"/>
          <w:numId w:val="7"/>
        </w:numPr>
        <w:ind w:left="851"/>
      </w:pPr>
      <w:r>
        <w:t>touring identified circuit</w:t>
      </w:r>
      <w:r w:rsidR="00CA570D">
        <w:t>s</w:t>
      </w:r>
      <w:r w:rsidR="005B5F25">
        <w:t xml:space="preserve"> </w:t>
      </w:r>
      <w:r w:rsidR="002D5313">
        <w:t xml:space="preserve">of at least five (5) </w:t>
      </w:r>
      <w:r w:rsidR="001574BC">
        <w:t xml:space="preserve">touring </w:t>
      </w:r>
      <w:r w:rsidR="002D5313" w:rsidRPr="00593ECC">
        <w:t>l</w:t>
      </w:r>
      <w:r w:rsidR="002D5313">
        <w:t xml:space="preserve">ocations </w:t>
      </w:r>
      <w:r w:rsidR="00E120C1">
        <w:t>over a</w:t>
      </w:r>
      <w:r w:rsidR="00540831">
        <w:t xml:space="preserve"> </w:t>
      </w:r>
      <w:r w:rsidR="00E120C1">
        <w:t>24-month period</w:t>
      </w:r>
      <w:r w:rsidR="001B63B3">
        <w:t>.</w:t>
      </w:r>
      <w:r w:rsidR="001C4F32">
        <w:t xml:space="preserve"> </w:t>
      </w:r>
      <w:r w:rsidR="00540831">
        <w:t>Funding w</w:t>
      </w:r>
      <w:r w:rsidR="008203C8">
        <w:t>ill support either</w:t>
      </w:r>
      <w:r w:rsidR="0034730A">
        <w:t>;</w:t>
      </w:r>
    </w:p>
    <w:p w14:paraId="52AACDED" w14:textId="0F6E4085" w:rsidR="008203C8" w:rsidRDefault="008203C8" w:rsidP="008203C8">
      <w:pPr>
        <w:pStyle w:val="ListParagraph"/>
        <w:numPr>
          <w:ilvl w:val="1"/>
          <w:numId w:val="7"/>
        </w:numPr>
      </w:pPr>
      <w:r>
        <w:t>touring programs that repeat visits to the same circuits over the period</w:t>
      </w:r>
      <w:r w:rsidR="00E7114A">
        <w:t>,</w:t>
      </w:r>
      <w:r>
        <w:t xml:space="preserve"> or </w:t>
      </w:r>
    </w:p>
    <w:p w14:paraId="0286B42D" w14:textId="7BF372D5" w:rsidR="00202991" w:rsidRDefault="008203C8" w:rsidP="00202991">
      <w:pPr>
        <w:pStyle w:val="ListParagraph"/>
        <w:numPr>
          <w:ilvl w:val="1"/>
          <w:numId w:val="7"/>
        </w:numPr>
      </w:pPr>
      <w:r>
        <w:t>tours to different circuits across the period.</w:t>
      </w:r>
    </w:p>
    <w:p w14:paraId="64755A41" w14:textId="4A9108D0" w:rsidR="001574BC" w:rsidRDefault="001574BC" w:rsidP="00EE05E0">
      <w:r>
        <w:t>Applicants cannot count the touring party’s home location as a touring location.</w:t>
      </w:r>
    </w:p>
    <w:p w14:paraId="08B186AA" w14:textId="6D1E32BA" w:rsidR="005B5F25" w:rsidRDefault="005B5F25" w:rsidP="00DA5395">
      <w:bookmarkStart w:id="5" w:name="_Hlk113868440"/>
      <w:r w:rsidRPr="00197851">
        <w:t>Applicants can</w:t>
      </w:r>
      <w:r>
        <w:rPr>
          <w:b/>
          <w:bCs/>
        </w:rPr>
        <w:t xml:space="preserve"> </w:t>
      </w:r>
      <w:r w:rsidRPr="00AC33E0">
        <w:t xml:space="preserve">apply for </w:t>
      </w:r>
      <w:r w:rsidRPr="00D43384">
        <w:rPr>
          <w:b/>
          <w:bCs/>
        </w:rPr>
        <w:t xml:space="preserve">up to </w:t>
      </w:r>
      <w:r w:rsidR="0010693A">
        <w:rPr>
          <w:b/>
          <w:bCs/>
        </w:rPr>
        <w:t>5</w:t>
      </w:r>
      <w:r w:rsidRPr="00D43384">
        <w:rPr>
          <w:b/>
          <w:bCs/>
        </w:rPr>
        <w:t>0%</w:t>
      </w:r>
      <w:r w:rsidRPr="00AC33E0">
        <w:t xml:space="preserve"> of the total project costs </w:t>
      </w:r>
      <w:bookmarkEnd w:id="5"/>
      <w:r>
        <w:t xml:space="preserve">. </w:t>
      </w:r>
    </w:p>
    <w:p w14:paraId="49164093" w14:textId="5FF1BA6E" w:rsidR="00913085" w:rsidRPr="005A2A06" w:rsidRDefault="00913085" w:rsidP="005A2A06">
      <w:pPr>
        <w:pBdr>
          <w:bottom w:val="single" w:sz="12" w:space="1" w:color="368A56"/>
        </w:pBdr>
        <w:rPr>
          <w:b/>
          <w:bCs/>
          <w:sz w:val="24"/>
          <w:szCs w:val="24"/>
        </w:rPr>
      </w:pPr>
      <w:r w:rsidRPr="005A2A06">
        <w:rPr>
          <w:b/>
          <w:bCs/>
          <w:sz w:val="24"/>
          <w:szCs w:val="24"/>
        </w:rPr>
        <w:t>Eligibility</w:t>
      </w:r>
    </w:p>
    <w:p w14:paraId="313C3808" w14:textId="510A3565" w:rsidR="007B6437" w:rsidRPr="00AC33E0" w:rsidRDefault="00913085" w:rsidP="00102476">
      <w:pPr>
        <w:spacing w:after="0"/>
      </w:pPr>
      <w:r w:rsidRPr="00AC33E0">
        <w:t xml:space="preserve">Please refer to the Arts Queensland </w:t>
      </w:r>
      <w:hyperlink r:id="rId8" w:history="1">
        <w:r w:rsidR="00574F48" w:rsidRPr="00F80347">
          <w:rPr>
            <w:rStyle w:val="Hyperlink"/>
          </w:rPr>
          <w:t>G</w:t>
        </w:r>
        <w:r w:rsidR="00B3162E" w:rsidRPr="00F80347">
          <w:rPr>
            <w:rStyle w:val="Hyperlink"/>
          </w:rPr>
          <w:t xml:space="preserve">eneral </w:t>
        </w:r>
        <w:r w:rsidR="00574F48" w:rsidRPr="00F80347">
          <w:rPr>
            <w:rStyle w:val="Hyperlink"/>
          </w:rPr>
          <w:t>F</w:t>
        </w:r>
        <w:r w:rsidRPr="00F80347">
          <w:rPr>
            <w:rStyle w:val="Hyperlink"/>
          </w:rPr>
          <w:t xml:space="preserve">unding </w:t>
        </w:r>
        <w:r w:rsidR="00574F48" w:rsidRPr="00F80347">
          <w:rPr>
            <w:rStyle w:val="Hyperlink"/>
          </w:rPr>
          <w:t>G</w:t>
        </w:r>
        <w:r w:rsidRPr="00F80347">
          <w:rPr>
            <w:rStyle w:val="Hyperlink"/>
          </w:rPr>
          <w:t>uidelines</w:t>
        </w:r>
      </w:hyperlink>
      <w:r w:rsidR="00C4621C" w:rsidRPr="00AC33E0">
        <w:rPr>
          <w:color w:val="0070C0"/>
        </w:rPr>
        <w:t xml:space="preserve"> </w:t>
      </w:r>
      <w:r w:rsidR="00C4621C" w:rsidRPr="00AC33E0">
        <w:t>for general eligibility criteria</w:t>
      </w:r>
      <w:r w:rsidR="008C3D79" w:rsidRPr="00AC33E0">
        <w:t xml:space="preserve"> and definition of a tour</w:t>
      </w:r>
      <w:r w:rsidR="00C4621C" w:rsidRPr="00AC33E0">
        <w:t xml:space="preserve">. In addition, the </w:t>
      </w:r>
      <w:r w:rsidR="00923AA4" w:rsidRPr="00AC33E0">
        <w:t>Fund</w:t>
      </w:r>
      <w:r w:rsidR="00C4621C" w:rsidRPr="00AC33E0">
        <w:t xml:space="preserve"> requires that applicants must</w:t>
      </w:r>
      <w:r w:rsidR="00830D9B" w:rsidRPr="00AC33E0">
        <w:t>:</w:t>
      </w:r>
    </w:p>
    <w:p w14:paraId="32EBF716" w14:textId="46C788F0" w:rsidR="001665AA" w:rsidRPr="00712490" w:rsidRDefault="001665AA" w:rsidP="006D7515">
      <w:pPr>
        <w:pStyle w:val="ListParagraph"/>
        <w:numPr>
          <w:ilvl w:val="0"/>
          <w:numId w:val="7"/>
        </w:numPr>
        <w:ind w:left="851"/>
      </w:pPr>
      <w:bookmarkStart w:id="6" w:name="_Hlk110513894"/>
      <w:r w:rsidRPr="00AC33E0">
        <w:t>b</w:t>
      </w:r>
      <w:r w:rsidRPr="00DA5395">
        <w:t xml:space="preserve">e based in </w:t>
      </w:r>
      <w:r w:rsidRPr="00712490">
        <w:t>Queensland</w:t>
      </w:r>
    </w:p>
    <w:bookmarkEnd w:id="6"/>
    <w:p w14:paraId="2E12F2BC" w14:textId="2FFD7149" w:rsidR="00C4621C" w:rsidRPr="00AC33E0" w:rsidRDefault="00C4621C" w:rsidP="00197851">
      <w:pPr>
        <w:pStyle w:val="ListParagraph"/>
        <w:numPr>
          <w:ilvl w:val="0"/>
          <w:numId w:val="7"/>
        </w:numPr>
        <w:spacing w:after="120"/>
        <w:ind w:left="851"/>
      </w:pPr>
      <w:r w:rsidRPr="00712490">
        <w:rPr>
          <w:b/>
          <w:bCs/>
        </w:rPr>
        <w:t>not</w:t>
      </w:r>
      <w:r w:rsidRPr="00712490">
        <w:t xml:space="preserve"> be a </w:t>
      </w:r>
      <w:r w:rsidR="00336F0C" w:rsidRPr="00712490">
        <w:t>NPAPF funded organisation</w:t>
      </w:r>
      <w:r w:rsidRPr="00712490">
        <w:t>, Arts</w:t>
      </w:r>
      <w:r w:rsidRPr="00AC33E0">
        <w:t xml:space="preserve"> Statutory Body </w:t>
      </w:r>
      <w:bookmarkStart w:id="7" w:name="_Hlk142939333"/>
      <w:r w:rsidRPr="00AC33E0">
        <w:t>or Arts Owned Company</w:t>
      </w:r>
      <w:bookmarkEnd w:id="7"/>
    </w:p>
    <w:p w14:paraId="53BAC975" w14:textId="7E53039A" w:rsidR="001574BC" w:rsidRDefault="008C3D79" w:rsidP="00EE05E0">
      <w:bookmarkStart w:id="8" w:name="_Hlk110612758"/>
      <w:r w:rsidRPr="00AC33E0">
        <w:t>Applicants may only receive one Touring Queensland Fund grant per</w:t>
      </w:r>
      <w:r w:rsidR="00772C52">
        <w:t xml:space="preserve"> calendar</w:t>
      </w:r>
      <w:r w:rsidRPr="00AC33E0">
        <w:t xml:space="preserve"> year</w:t>
      </w:r>
      <w:r w:rsidR="00C36B74">
        <w:t xml:space="preserve"> for either single tours or touring programs</w:t>
      </w:r>
      <w:r w:rsidRPr="00AC33E0">
        <w:t xml:space="preserve">. </w:t>
      </w:r>
      <w:r w:rsidR="006C1D9F" w:rsidRPr="00AC33E0">
        <w:t xml:space="preserve"> </w:t>
      </w:r>
      <w:r w:rsidR="00840FA3" w:rsidRPr="00AC33E0">
        <w:t>Regional Arts Service Network (RASN) providers are permitted one applica</w:t>
      </w:r>
      <w:r w:rsidR="002518F6">
        <w:t xml:space="preserve">tion to </w:t>
      </w:r>
      <w:r w:rsidR="00FF4695">
        <w:t>the</w:t>
      </w:r>
      <w:r w:rsidR="002518F6">
        <w:t xml:space="preserve"> </w:t>
      </w:r>
      <w:r w:rsidR="00FF4695">
        <w:t>F</w:t>
      </w:r>
      <w:r w:rsidR="002518F6">
        <w:t xml:space="preserve">und in their own right and </w:t>
      </w:r>
      <w:r w:rsidR="00840FA3" w:rsidRPr="00AC33E0">
        <w:t>one application</w:t>
      </w:r>
      <w:r w:rsidR="002518F6">
        <w:t xml:space="preserve"> to </w:t>
      </w:r>
      <w:r w:rsidR="00FF4695">
        <w:t>the</w:t>
      </w:r>
      <w:r w:rsidR="002518F6">
        <w:t xml:space="preserve"> </w:t>
      </w:r>
      <w:r w:rsidR="00FF4695">
        <w:t>F</w:t>
      </w:r>
      <w:r w:rsidR="002518F6">
        <w:t>und</w:t>
      </w:r>
      <w:r w:rsidR="00840FA3" w:rsidRPr="00AC33E0">
        <w:t xml:space="preserve"> as a RASN provider</w:t>
      </w:r>
      <w:r w:rsidR="00FF4695">
        <w:t xml:space="preserve"> per calendar year</w:t>
      </w:r>
      <w:r w:rsidR="00840FA3" w:rsidRPr="00AC33E0">
        <w:t>.</w:t>
      </w:r>
      <w:r w:rsidR="002D7015">
        <w:t xml:space="preserve"> </w:t>
      </w:r>
    </w:p>
    <w:bookmarkEnd w:id="8"/>
    <w:p w14:paraId="2C7B16F2" w14:textId="79205246" w:rsidR="0002281D" w:rsidRPr="005A2A06" w:rsidRDefault="0002281D" w:rsidP="005A2A06">
      <w:pPr>
        <w:pBdr>
          <w:bottom w:val="single" w:sz="12" w:space="1" w:color="368A56"/>
        </w:pBdr>
        <w:rPr>
          <w:b/>
          <w:bCs/>
          <w:sz w:val="24"/>
          <w:szCs w:val="24"/>
        </w:rPr>
      </w:pPr>
      <w:r w:rsidRPr="005A2A06">
        <w:rPr>
          <w:b/>
          <w:bCs/>
          <w:sz w:val="24"/>
          <w:szCs w:val="24"/>
        </w:rPr>
        <w:t>Ineligible costs</w:t>
      </w:r>
    </w:p>
    <w:p w14:paraId="156191C4" w14:textId="32EEF1B0" w:rsidR="0002281D" w:rsidRPr="0002281D" w:rsidRDefault="00B3162E" w:rsidP="0002281D">
      <w:pPr>
        <w:spacing w:after="0"/>
      </w:pPr>
      <w:r>
        <w:t xml:space="preserve">In addition to the ineligible items listed in the </w:t>
      </w:r>
      <w:hyperlink r:id="rId9" w:history="1">
        <w:r w:rsidR="002A4CF4" w:rsidRPr="00F80347">
          <w:rPr>
            <w:rStyle w:val="Hyperlink"/>
          </w:rPr>
          <w:t>General Funding Guidelines</w:t>
        </w:r>
      </w:hyperlink>
      <w:r w:rsidRPr="00B82813">
        <w:t>,</w:t>
      </w:r>
      <w:r>
        <w:t xml:space="preserve"> you </w:t>
      </w:r>
      <w:r w:rsidRPr="006E411F">
        <w:rPr>
          <w:b/>
          <w:bCs/>
        </w:rPr>
        <w:t xml:space="preserve">cannot </w:t>
      </w:r>
      <w:r>
        <w:t>apply for</w:t>
      </w:r>
      <w:r w:rsidR="0002281D" w:rsidRPr="0002281D">
        <w:t xml:space="preserve">: </w:t>
      </w:r>
    </w:p>
    <w:p w14:paraId="5B21BD48" w14:textId="588BFAC4" w:rsidR="0002281D" w:rsidRPr="0002281D" w:rsidRDefault="0002281D" w:rsidP="006D7515">
      <w:pPr>
        <w:pStyle w:val="ListParagraph"/>
        <w:numPr>
          <w:ilvl w:val="0"/>
          <w:numId w:val="7"/>
        </w:numPr>
        <w:ind w:left="851"/>
      </w:pPr>
      <w:bookmarkStart w:id="9" w:name="_Hlk109726294"/>
      <w:r w:rsidRPr="0002281D">
        <w:t>costs associated with delivering activity in</w:t>
      </w:r>
      <w:r w:rsidR="00772C52">
        <w:t xml:space="preserve"> the</w:t>
      </w:r>
      <w:r w:rsidRPr="0002281D">
        <w:t xml:space="preserve"> </w:t>
      </w:r>
      <w:r w:rsidR="00A152B7">
        <w:t>home location</w:t>
      </w:r>
      <w:r w:rsidR="00772C52">
        <w:t>/</w:t>
      </w:r>
      <w:r w:rsidR="00A152B7">
        <w:t>s</w:t>
      </w:r>
      <w:r w:rsidR="00772C52">
        <w:t xml:space="preserve"> of the touring company/ies</w:t>
      </w:r>
      <w:r w:rsidR="00A152B7">
        <w:t xml:space="preserve">.  </w:t>
      </w:r>
    </w:p>
    <w:bookmarkEnd w:id="9"/>
    <w:p w14:paraId="38674C06" w14:textId="38B3AE8F" w:rsidR="0002281D" w:rsidRDefault="0002281D" w:rsidP="006D7515">
      <w:pPr>
        <w:pStyle w:val="ListParagraph"/>
        <w:numPr>
          <w:ilvl w:val="0"/>
          <w:numId w:val="7"/>
        </w:numPr>
        <w:ind w:left="851"/>
      </w:pPr>
      <w:r w:rsidRPr="00F20831">
        <w:t>costs associated with delivering activity outside of Queensland</w:t>
      </w:r>
    </w:p>
    <w:p w14:paraId="603C643C" w14:textId="0A1F1695" w:rsidR="00865416" w:rsidRPr="00F20831" w:rsidRDefault="00865416" w:rsidP="006D7515">
      <w:pPr>
        <w:pStyle w:val="ListParagraph"/>
        <w:numPr>
          <w:ilvl w:val="0"/>
          <w:numId w:val="7"/>
        </w:numPr>
        <w:ind w:left="851"/>
      </w:pPr>
      <w:r>
        <w:t>rehearsal or remount costs</w:t>
      </w:r>
    </w:p>
    <w:p w14:paraId="6DDC45FD" w14:textId="662C7F1B" w:rsidR="0002281D" w:rsidRPr="0002281D" w:rsidRDefault="0002281D" w:rsidP="006D7515">
      <w:pPr>
        <w:pStyle w:val="ListParagraph"/>
        <w:numPr>
          <w:ilvl w:val="0"/>
          <w:numId w:val="7"/>
        </w:numPr>
        <w:ind w:left="851"/>
      </w:pPr>
      <w:r w:rsidRPr="0002281D">
        <w:t xml:space="preserve">purchase and/or construction of equipment, </w:t>
      </w:r>
      <w:r w:rsidR="00147990">
        <w:t xml:space="preserve">storage, </w:t>
      </w:r>
      <w:r w:rsidRPr="0002281D">
        <w:t>set or costumes, as well as maintenance and consumables</w:t>
      </w:r>
    </w:p>
    <w:p w14:paraId="63A5E1F1" w14:textId="26021385" w:rsidR="0002281D" w:rsidRPr="00F20831" w:rsidRDefault="00865416" w:rsidP="006D7515">
      <w:pPr>
        <w:pStyle w:val="ListParagraph"/>
        <w:numPr>
          <w:ilvl w:val="0"/>
          <w:numId w:val="7"/>
        </w:numPr>
        <w:ind w:left="851"/>
      </w:pPr>
      <w:r>
        <w:t xml:space="preserve">marketing and promotion, </w:t>
      </w:r>
      <w:r w:rsidR="0002281D" w:rsidRPr="00F20831">
        <w:t>venue hire and venue staffing costs</w:t>
      </w:r>
    </w:p>
    <w:p w14:paraId="6DD9D415" w14:textId="48763F4D" w:rsidR="0002281D" w:rsidRPr="0002281D" w:rsidRDefault="0002281D" w:rsidP="006D7515">
      <w:pPr>
        <w:pStyle w:val="ListParagraph"/>
        <w:numPr>
          <w:ilvl w:val="0"/>
          <w:numId w:val="7"/>
        </w:numPr>
        <w:ind w:left="851"/>
      </w:pPr>
      <w:r w:rsidRPr="0002281D">
        <w:t>agent fees, or management fees not directly associated with delivering tour coordination</w:t>
      </w:r>
    </w:p>
    <w:p w14:paraId="10E5FB38" w14:textId="5B0AB555" w:rsidR="0002281D" w:rsidRPr="0002281D" w:rsidRDefault="00BA184D" w:rsidP="006D7515">
      <w:pPr>
        <w:pStyle w:val="ListParagraph"/>
        <w:numPr>
          <w:ilvl w:val="0"/>
          <w:numId w:val="7"/>
        </w:numPr>
        <w:ind w:left="851"/>
      </w:pPr>
      <w:bookmarkStart w:id="10" w:name="_Hlk109647507"/>
      <w:r w:rsidRPr="0020042C">
        <w:rPr>
          <w:spacing w:val="-2"/>
        </w:rPr>
        <w:t xml:space="preserve">expenses associated with </w:t>
      </w:r>
      <w:r w:rsidR="0002281D" w:rsidRPr="0020042C">
        <w:rPr>
          <w:spacing w:val="-2"/>
        </w:rPr>
        <w:t xml:space="preserve">core staff </w:t>
      </w:r>
      <w:r w:rsidR="00927D0A" w:rsidRPr="0020042C">
        <w:rPr>
          <w:spacing w:val="-2"/>
        </w:rPr>
        <w:t>involved in touring or community engagement activities</w:t>
      </w:r>
      <w:r w:rsidR="00927D0A">
        <w:t xml:space="preserve"> </w:t>
      </w:r>
      <w:r>
        <w:t xml:space="preserve">including </w:t>
      </w:r>
      <w:r w:rsidR="00927D0A">
        <w:t>fees or wages</w:t>
      </w:r>
      <w:r>
        <w:t>,</w:t>
      </w:r>
      <w:r w:rsidR="0002281D" w:rsidRPr="0002281D">
        <w:t xml:space="preserve"> travel, </w:t>
      </w:r>
      <w:r w:rsidR="00FF4695" w:rsidRPr="0002281D">
        <w:t>accommodation,</w:t>
      </w:r>
      <w:r w:rsidR="0002281D" w:rsidRPr="0002281D">
        <w:t xml:space="preserve"> and </w:t>
      </w:r>
      <w:r w:rsidR="0020042C">
        <w:t>living</w:t>
      </w:r>
      <w:r w:rsidR="0016094E">
        <w:t>-</w:t>
      </w:r>
      <w:r w:rsidR="0020042C">
        <w:t>away</w:t>
      </w:r>
      <w:r w:rsidR="0016094E">
        <w:t>-</w:t>
      </w:r>
      <w:r w:rsidR="0020042C">
        <w:t>from</w:t>
      </w:r>
      <w:r w:rsidR="0016094E">
        <w:t>-</w:t>
      </w:r>
      <w:r w:rsidR="0020042C">
        <w:t>home</w:t>
      </w:r>
      <w:r w:rsidR="002363E4">
        <w:t xml:space="preserve"> allowances.</w:t>
      </w:r>
    </w:p>
    <w:bookmarkEnd w:id="10"/>
    <w:p w14:paraId="45A79C4E" w14:textId="35699E31" w:rsidR="00220F0E" w:rsidRPr="003674BC" w:rsidRDefault="00220F0E" w:rsidP="005A2A06">
      <w:pPr>
        <w:pBdr>
          <w:bottom w:val="single" w:sz="12" w:space="1" w:color="368A56"/>
        </w:pBdr>
        <w:rPr>
          <w:b/>
          <w:bCs/>
          <w:sz w:val="24"/>
          <w:szCs w:val="24"/>
        </w:rPr>
      </w:pPr>
      <w:r w:rsidRPr="005A2A06">
        <w:rPr>
          <w:b/>
          <w:bCs/>
          <w:sz w:val="24"/>
          <w:szCs w:val="24"/>
        </w:rPr>
        <w:t xml:space="preserve">Assessment </w:t>
      </w:r>
      <w:r w:rsidR="00271599">
        <w:rPr>
          <w:b/>
          <w:bCs/>
          <w:sz w:val="24"/>
          <w:szCs w:val="24"/>
        </w:rPr>
        <w:t>c</w:t>
      </w:r>
      <w:r w:rsidRPr="003674BC">
        <w:rPr>
          <w:b/>
          <w:bCs/>
          <w:sz w:val="24"/>
          <w:szCs w:val="24"/>
        </w:rPr>
        <w:t>riteria</w:t>
      </w:r>
    </w:p>
    <w:p w14:paraId="011D82EA" w14:textId="768F72CE" w:rsidR="00C4453A" w:rsidRDefault="00197851" w:rsidP="008C3D79">
      <w:pPr>
        <w:ind w:right="-188"/>
      </w:pPr>
      <w:bookmarkStart w:id="11" w:name="_Hlk113289569"/>
      <w:r>
        <w:t>P</w:t>
      </w:r>
      <w:r w:rsidR="00EB7E61" w:rsidRPr="00EB7E61">
        <w:t xml:space="preserve">eer </w:t>
      </w:r>
      <w:r w:rsidR="00D6218C" w:rsidRPr="00EB7E61">
        <w:t>assess</w:t>
      </w:r>
      <w:r w:rsidR="00DF2C23">
        <w:t xml:space="preserve">ors will </w:t>
      </w:r>
      <w:r w:rsidR="00DE6E13">
        <w:t xml:space="preserve">assess applications against the following </w:t>
      </w:r>
      <w:r w:rsidR="003D6458">
        <w:t xml:space="preserve">general </w:t>
      </w:r>
      <w:r w:rsidR="00DE6E13">
        <w:t>criteria:</w:t>
      </w:r>
    </w:p>
    <w:p w14:paraId="7FEFCAAA" w14:textId="70E3E884" w:rsidR="003D6458" w:rsidRPr="002508CC" w:rsidRDefault="003D6458" w:rsidP="00D67027">
      <w:pPr>
        <w:spacing w:after="0" w:line="240" w:lineRule="auto"/>
        <w:jc w:val="both"/>
        <w:rPr>
          <w:rFonts w:cs="Arial"/>
          <w:b/>
          <w:i/>
          <w:color w:val="000000" w:themeColor="text1"/>
        </w:rPr>
      </w:pPr>
      <w:bookmarkStart w:id="12" w:name="_Hlk113289584"/>
      <w:bookmarkEnd w:id="11"/>
      <w:r w:rsidRPr="002508CC">
        <w:rPr>
          <w:rFonts w:cs="Arial"/>
          <w:b/>
          <w:i/>
          <w:color w:val="000000" w:themeColor="text1"/>
        </w:rPr>
        <w:t>High quality</w:t>
      </w:r>
    </w:p>
    <w:p w14:paraId="2D3EE75A" w14:textId="30C87443" w:rsidR="003D6458" w:rsidRPr="00D67027" w:rsidRDefault="003D6458" w:rsidP="00D67027">
      <w:pPr>
        <w:pStyle w:val="ListParagraph"/>
        <w:numPr>
          <w:ilvl w:val="0"/>
          <w:numId w:val="7"/>
        </w:numPr>
        <w:ind w:left="851"/>
      </w:pPr>
      <w:r w:rsidRPr="00D67027">
        <w:t>Creative idea or concept is innovative and will deliver high quality arts and cultural work</w:t>
      </w:r>
    </w:p>
    <w:p w14:paraId="613E2A74" w14:textId="77777777" w:rsidR="003D6458" w:rsidRPr="002508CC" w:rsidRDefault="003D6458" w:rsidP="00D67027">
      <w:pPr>
        <w:pStyle w:val="ListParagraph"/>
        <w:numPr>
          <w:ilvl w:val="0"/>
          <w:numId w:val="7"/>
        </w:numPr>
        <w:ind w:left="851"/>
        <w:rPr>
          <w:rFonts w:cs="Arial"/>
          <w:color w:val="000000" w:themeColor="text1"/>
        </w:rPr>
      </w:pPr>
      <w:r w:rsidRPr="00D67027">
        <w:t>Professio</w:t>
      </w:r>
      <w:r w:rsidRPr="002508CC">
        <w:rPr>
          <w:rFonts w:cs="Arial"/>
          <w:color w:val="000000" w:themeColor="text1"/>
        </w:rPr>
        <w:t>nals involved are highly skilled and well regarded</w:t>
      </w:r>
    </w:p>
    <w:p w14:paraId="4497A101" w14:textId="0924C0B7" w:rsidR="00BF21D9" w:rsidRPr="00E65AFC" w:rsidRDefault="003D6458" w:rsidP="00E65AFC">
      <w:pPr>
        <w:pStyle w:val="ListParagraph"/>
        <w:numPr>
          <w:ilvl w:val="0"/>
          <w:numId w:val="7"/>
        </w:numPr>
        <w:ind w:left="851"/>
        <w:rPr>
          <w:rFonts w:cs="Arial"/>
          <w:color w:val="000000" w:themeColor="text1"/>
        </w:rPr>
      </w:pPr>
      <w:r w:rsidRPr="002508CC">
        <w:rPr>
          <w:rFonts w:cs="Arial"/>
          <w:color w:val="000000" w:themeColor="text1"/>
        </w:rPr>
        <w:t xml:space="preserve">Includes </w:t>
      </w:r>
      <w:r w:rsidRPr="00D67027">
        <w:t>collaborators</w:t>
      </w:r>
      <w:r w:rsidRPr="002508CC">
        <w:rPr>
          <w:rFonts w:cs="Arial"/>
          <w:color w:val="000000" w:themeColor="text1"/>
        </w:rPr>
        <w:t xml:space="preserve"> and partners who will help create great outcomes </w:t>
      </w:r>
    </w:p>
    <w:p w14:paraId="57B20CD3" w14:textId="2CD4E799" w:rsidR="003D6458" w:rsidRPr="002508CC" w:rsidRDefault="003D6458" w:rsidP="00D67027">
      <w:pPr>
        <w:spacing w:after="0" w:line="240" w:lineRule="auto"/>
        <w:jc w:val="both"/>
        <w:rPr>
          <w:rFonts w:cs="Arial"/>
          <w:b/>
          <w:i/>
          <w:color w:val="000000" w:themeColor="text1"/>
        </w:rPr>
      </w:pPr>
      <w:r w:rsidRPr="002508CC">
        <w:rPr>
          <w:rFonts w:cs="Arial"/>
          <w:b/>
          <w:i/>
          <w:color w:val="000000" w:themeColor="text1"/>
        </w:rPr>
        <w:t>Strong impact</w:t>
      </w:r>
    </w:p>
    <w:p w14:paraId="64A2D0E5" w14:textId="77777777" w:rsidR="003D6458" w:rsidRPr="00D67027" w:rsidRDefault="003D6458" w:rsidP="00D67027">
      <w:pPr>
        <w:pStyle w:val="ListParagraph"/>
        <w:numPr>
          <w:ilvl w:val="0"/>
          <w:numId w:val="7"/>
        </w:numPr>
        <w:ind w:left="851"/>
      </w:pPr>
      <w:r w:rsidRPr="002508CC">
        <w:rPr>
          <w:rFonts w:cs="Arial"/>
          <w:bCs/>
          <w:iCs/>
          <w:color w:val="000000" w:themeColor="text1"/>
        </w:rPr>
        <w:t>Creates</w:t>
      </w:r>
      <w:r w:rsidRPr="002508CC">
        <w:rPr>
          <w:rFonts w:cs="Arial"/>
          <w:color w:val="000000" w:themeColor="text1"/>
        </w:rPr>
        <w:t xml:space="preserve"> </w:t>
      </w:r>
      <w:r w:rsidRPr="00D67027">
        <w:t xml:space="preserve">new employment opportunities and skills development for Queensland artists and arts workers </w:t>
      </w:r>
    </w:p>
    <w:p w14:paraId="5534BDA7" w14:textId="5F3B9144" w:rsidR="003D6458" w:rsidRPr="00D67027" w:rsidRDefault="00F95513" w:rsidP="00D67027">
      <w:pPr>
        <w:pStyle w:val="ListParagraph"/>
        <w:numPr>
          <w:ilvl w:val="0"/>
          <w:numId w:val="7"/>
        </w:numPr>
        <w:ind w:left="851"/>
      </w:pPr>
      <w:r>
        <w:t>Maximises audience engagement to b</w:t>
      </w:r>
      <w:r w:rsidR="003D6458" w:rsidRPr="00D67027">
        <w:t xml:space="preserve">uild </w:t>
      </w:r>
      <w:r>
        <w:t>attendance and participation, new</w:t>
      </w:r>
      <w:r w:rsidR="003D6458" w:rsidRPr="00D67027">
        <w:t xml:space="preserve"> markets and reputation for Queensland arts and cultures </w:t>
      </w:r>
    </w:p>
    <w:p w14:paraId="635C8F0D" w14:textId="6B7A982C" w:rsidR="003D6458" w:rsidRPr="002508CC" w:rsidRDefault="003D6458" w:rsidP="00D67027">
      <w:pPr>
        <w:pStyle w:val="ListParagraph"/>
        <w:numPr>
          <w:ilvl w:val="0"/>
          <w:numId w:val="7"/>
        </w:numPr>
        <w:ind w:left="851"/>
        <w:rPr>
          <w:rFonts w:cs="Arial"/>
          <w:color w:val="000000" w:themeColor="text1"/>
        </w:rPr>
      </w:pPr>
      <w:r w:rsidRPr="00D67027">
        <w:t>Responds to</w:t>
      </w:r>
      <w:r w:rsidRPr="002508CC">
        <w:rPr>
          <w:rFonts w:cs="Arial"/>
          <w:color w:val="000000" w:themeColor="text1"/>
        </w:rPr>
        <w:t xml:space="preserve"> community needs and helps deliver government priorities </w:t>
      </w:r>
      <w:r w:rsidR="00F95513">
        <w:rPr>
          <w:rFonts w:cs="Arial"/>
          <w:color w:val="000000" w:themeColor="text1"/>
        </w:rPr>
        <w:t xml:space="preserve">including the principles of the </w:t>
      </w:r>
      <w:hyperlink r:id="rId10" w:history="1">
        <w:r w:rsidR="00F95513" w:rsidRPr="00F95513">
          <w:rPr>
            <w:rStyle w:val="Hyperlink"/>
            <w:rFonts w:cs="Arial"/>
          </w:rPr>
          <w:t>Cultural Engagement Framework</w:t>
        </w:r>
      </w:hyperlink>
    </w:p>
    <w:p w14:paraId="483C36BE" w14:textId="77777777" w:rsidR="001833FC" w:rsidRDefault="001833FC" w:rsidP="00D67027">
      <w:pPr>
        <w:spacing w:after="0" w:line="240" w:lineRule="auto"/>
        <w:jc w:val="both"/>
        <w:rPr>
          <w:rFonts w:cs="Arial"/>
          <w:b/>
          <w:i/>
          <w:color w:val="000000" w:themeColor="text1"/>
        </w:rPr>
      </w:pPr>
    </w:p>
    <w:p w14:paraId="70E8C853" w14:textId="4AEEDA5E" w:rsidR="003D6458" w:rsidRPr="002508CC" w:rsidRDefault="003D6458" w:rsidP="00D67027">
      <w:pPr>
        <w:spacing w:after="0" w:line="240" w:lineRule="auto"/>
        <w:jc w:val="both"/>
        <w:rPr>
          <w:rFonts w:cs="Arial"/>
          <w:b/>
          <w:i/>
          <w:color w:val="000000" w:themeColor="text1"/>
        </w:rPr>
      </w:pPr>
      <w:r w:rsidRPr="002508CC">
        <w:rPr>
          <w:rFonts w:cs="Arial"/>
          <w:b/>
          <w:i/>
          <w:color w:val="000000" w:themeColor="text1"/>
        </w:rPr>
        <w:lastRenderedPageBreak/>
        <w:t>Sustainable value</w:t>
      </w:r>
    </w:p>
    <w:p w14:paraId="2D5A19DB" w14:textId="5085965C" w:rsidR="003D6458" w:rsidRPr="00D67027" w:rsidRDefault="003F7254" w:rsidP="00D67027">
      <w:pPr>
        <w:pStyle w:val="ListParagraph"/>
        <w:numPr>
          <w:ilvl w:val="0"/>
          <w:numId w:val="7"/>
        </w:numPr>
        <w:ind w:left="851"/>
      </w:pPr>
      <w:r>
        <w:rPr>
          <w:rFonts w:cs="Arial"/>
          <w:color w:val="000000" w:themeColor="text1"/>
        </w:rPr>
        <w:t>D</w:t>
      </w:r>
      <w:r w:rsidR="003D6458" w:rsidRPr="00B36793">
        <w:rPr>
          <w:rFonts w:cs="Arial"/>
          <w:color w:val="000000" w:themeColor="text1"/>
        </w:rPr>
        <w:t>emonstrate</w:t>
      </w:r>
      <w:r>
        <w:rPr>
          <w:rFonts w:cs="Arial"/>
          <w:color w:val="000000" w:themeColor="text1"/>
        </w:rPr>
        <w:t>s</w:t>
      </w:r>
      <w:r w:rsidR="003D6458" w:rsidRPr="00B36793">
        <w:rPr>
          <w:rFonts w:cs="Arial"/>
          <w:color w:val="000000" w:themeColor="text1"/>
        </w:rPr>
        <w:t xml:space="preserve"> </w:t>
      </w:r>
      <w:r w:rsidR="003D6458" w:rsidRPr="00D67027">
        <w:t>value for money, sound governance, and ethical business practices, including paying</w:t>
      </w:r>
      <w:r w:rsidR="007D64B3">
        <w:t xml:space="preserve"> amount not less than</w:t>
      </w:r>
      <w:r w:rsidR="003D6458" w:rsidRPr="00D67027">
        <w:t xml:space="preserve"> industry award rates</w:t>
      </w:r>
      <w:r w:rsidR="007D64B3">
        <w:t>, recommended or agreed minimum rates,</w:t>
      </w:r>
      <w:r w:rsidR="003D6458" w:rsidRPr="00D67027">
        <w:t xml:space="preserve"> and adhering to cultural protocols</w:t>
      </w:r>
    </w:p>
    <w:p w14:paraId="749EAA37" w14:textId="2D121C6F" w:rsidR="003D6458" w:rsidRPr="00D67027" w:rsidRDefault="003F7254" w:rsidP="00D67027">
      <w:pPr>
        <w:pStyle w:val="ListParagraph"/>
        <w:numPr>
          <w:ilvl w:val="0"/>
          <w:numId w:val="7"/>
        </w:numPr>
        <w:ind w:left="851"/>
      </w:pPr>
      <w:r>
        <w:rPr>
          <w:rFonts w:cs="Arial"/>
          <w:color w:val="000000" w:themeColor="text1"/>
        </w:rPr>
        <w:t xml:space="preserve">Touring itinerary, scale of work and touring party time </w:t>
      </w:r>
      <w:r w:rsidR="00096CEC">
        <w:rPr>
          <w:rFonts w:cs="Arial"/>
          <w:color w:val="000000" w:themeColor="text1"/>
        </w:rPr>
        <w:t>maximises</w:t>
      </w:r>
      <w:r>
        <w:rPr>
          <w:rFonts w:cs="Arial"/>
          <w:color w:val="000000" w:themeColor="text1"/>
        </w:rPr>
        <w:t xml:space="preserve"> Queensland Government investment and </w:t>
      </w:r>
      <w:r>
        <w:t>demonstrate</w:t>
      </w:r>
      <w:r w:rsidR="00096CEC">
        <w:t>s</w:t>
      </w:r>
      <w:r>
        <w:t xml:space="preserve"> </w:t>
      </w:r>
      <w:r w:rsidR="003D6458" w:rsidRPr="00D67027">
        <w:t>a strong delivery plan including understanding potential risks and their management</w:t>
      </w:r>
    </w:p>
    <w:p w14:paraId="2610E2D1" w14:textId="2AD98B51" w:rsidR="003D6458" w:rsidRPr="00712490" w:rsidRDefault="00096CEC" w:rsidP="00D67027">
      <w:pPr>
        <w:pStyle w:val="ListParagraph"/>
        <w:numPr>
          <w:ilvl w:val="0"/>
          <w:numId w:val="7"/>
        </w:numPr>
        <w:ind w:left="851"/>
      </w:pPr>
      <w:r>
        <w:t xml:space="preserve">Includes </w:t>
      </w:r>
      <w:r w:rsidR="0095575B">
        <w:t>other investment partners to</w:t>
      </w:r>
      <w:r w:rsidR="003D6458" w:rsidRPr="00D67027">
        <w:t xml:space="preserve"> </w:t>
      </w:r>
      <w:r w:rsidR="003D6458" w:rsidRPr="00712490">
        <w:t>contribute to the</w:t>
      </w:r>
      <w:r w:rsidR="003D6458" w:rsidRPr="00712490">
        <w:rPr>
          <w:rFonts w:cs="Arial"/>
          <w:color w:val="000000" w:themeColor="text1"/>
        </w:rPr>
        <w:t xml:space="preserve"> sustainability and growth of Queensland’s arts and cultural sector </w:t>
      </w:r>
    </w:p>
    <w:bookmarkEnd w:id="12"/>
    <w:p w14:paraId="226F093C" w14:textId="53585103" w:rsidR="00652250" w:rsidRDefault="00830722" w:rsidP="00B0438A">
      <w:pPr>
        <w:spacing w:before="160" w:after="120"/>
      </w:pPr>
      <w:r w:rsidRPr="00830722">
        <w:rPr>
          <w:u w:val="single"/>
        </w:rPr>
        <w:t>Note</w:t>
      </w:r>
      <w:r>
        <w:t xml:space="preserve">: </w:t>
      </w:r>
      <w:r w:rsidR="00652250" w:rsidRPr="00712490">
        <w:t>Application</w:t>
      </w:r>
      <w:r w:rsidR="00DC736E" w:rsidRPr="00712490">
        <w:t>s</w:t>
      </w:r>
      <w:r w:rsidR="00652250" w:rsidRPr="00712490">
        <w:t xml:space="preserve"> for </w:t>
      </w:r>
      <w:r w:rsidR="001833FC">
        <w:t>m</w:t>
      </w:r>
      <w:r w:rsidR="00E40A03">
        <w:t>ulti</w:t>
      </w:r>
      <w:r w:rsidR="003674BC">
        <w:t>-</w:t>
      </w:r>
      <w:r w:rsidR="00E40A03">
        <w:t>year</w:t>
      </w:r>
      <w:r w:rsidR="00271599">
        <w:t xml:space="preserve"> </w:t>
      </w:r>
      <w:r w:rsidR="00E40A03">
        <w:t>t</w:t>
      </w:r>
      <w:r w:rsidR="00652250" w:rsidRPr="00712490">
        <w:t xml:space="preserve">ouring funding that are </w:t>
      </w:r>
      <w:r w:rsidR="00FF61B0">
        <w:t xml:space="preserve">venue or </w:t>
      </w:r>
      <w:r w:rsidR="00652250" w:rsidRPr="00712490">
        <w:t>presenter</w:t>
      </w:r>
      <w:r w:rsidR="00DC736E" w:rsidRPr="00712490">
        <w:t>-led</w:t>
      </w:r>
      <w:r w:rsidR="00652250" w:rsidRPr="00712490">
        <w:t xml:space="preserve"> sh</w:t>
      </w:r>
      <w:r w:rsidR="00DC736E" w:rsidRPr="00712490">
        <w:t>ould</w:t>
      </w:r>
      <w:r w:rsidR="00652250" w:rsidRPr="00712490">
        <w:t xml:space="preserve"> include how </w:t>
      </w:r>
      <w:r w:rsidR="00DC736E" w:rsidRPr="00712490">
        <w:t xml:space="preserve">the circuit will make programming decisions </w:t>
      </w:r>
      <w:r w:rsidR="00C11875">
        <w:t>for</w:t>
      </w:r>
      <w:r w:rsidR="00DC736E" w:rsidRPr="00712490">
        <w:t xml:space="preserve"> </w:t>
      </w:r>
      <w:r w:rsidR="004337EF">
        <w:t>years one and two</w:t>
      </w:r>
      <w:r w:rsidR="00DC736E" w:rsidRPr="00712490">
        <w:t>.</w:t>
      </w:r>
    </w:p>
    <w:p w14:paraId="5F5A4E4A" w14:textId="55408B37" w:rsidR="0050705D" w:rsidRDefault="0050705D">
      <w:pPr>
        <w:ind w:right="-188"/>
      </w:pPr>
      <w:r>
        <w:t xml:space="preserve">Successful applicants for multi-year funding will need to meet milestones of venue and/or program confirmation as a condition of receiving year 2 funding. </w:t>
      </w:r>
    </w:p>
    <w:p w14:paraId="5D57AB4C" w14:textId="7B38CC3C" w:rsidR="008C3D79" w:rsidRPr="005A2A06" w:rsidRDefault="003D6458" w:rsidP="005A2A06">
      <w:pPr>
        <w:pBdr>
          <w:bottom w:val="single" w:sz="12" w:space="1" w:color="368A56"/>
        </w:pBdr>
        <w:spacing w:before="160"/>
        <w:rPr>
          <w:b/>
          <w:bCs/>
          <w:sz w:val="24"/>
          <w:szCs w:val="24"/>
        </w:rPr>
      </w:pPr>
      <w:r w:rsidRPr="005A2A06">
        <w:rPr>
          <w:b/>
          <w:bCs/>
          <w:sz w:val="24"/>
          <w:szCs w:val="24"/>
        </w:rPr>
        <w:t>Submitting your application</w:t>
      </w:r>
    </w:p>
    <w:p w14:paraId="256214A5" w14:textId="498B2784" w:rsidR="008E2BFF" w:rsidRPr="00712490" w:rsidRDefault="008E2BFF" w:rsidP="008E2BFF">
      <w:pPr>
        <w:ind w:right="-188"/>
        <w:rPr>
          <w:color w:val="0070C0"/>
        </w:rPr>
      </w:pPr>
      <w:bookmarkStart w:id="13" w:name="_Hlk109727336"/>
      <w:r w:rsidRPr="005F1A78">
        <w:t xml:space="preserve">You can </w:t>
      </w:r>
      <w:r w:rsidR="00BF6DF6">
        <w:t xml:space="preserve">submit your </w:t>
      </w:r>
      <w:r w:rsidRPr="005F1A78">
        <w:t>application, along with project timeframe, budget,</w:t>
      </w:r>
      <w:r>
        <w:t xml:space="preserve"> and support materials including</w:t>
      </w:r>
      <w:r w:rsidRPr="005F1A78">
        <w:t xml:space="preserve"> letters of support, artist biographies/CVs, examples of prior work and appropriate cultural </w:t>
      </w:r>
      <w:r w:rsidRPr="00712490">
        <w:t xml:space="preserve">permissions, through SmartyGrants: </w:t>
      </w:r>
      <w:hyperlink r:id="rId11" w:history="1">
        <w:r w:rsidRPr="00712490">
          <w:rPr>
            <w:color w:val="0070C0"/>
            <w:u w:val="single"/>
          </w:rPr>
          <w:t>https://artsqueensland.smartygrants.com.au</w:t>
        </w:r>
      </w:hyperlink>
      <w:r w:rsidRPr="00712490">
        <w:rPr>
          <w:color w:val="0070C0"/>
        </w:rPr>
        <w:t xml:space="preserve"> </w:t>
      </w:r>
    </w:p>
    <w:p w14:paraId="1887FCC6" w14:textId="66710E8D" w:rsidR="003D6458" w:rsidRPr="00D31935" w:rsidRDefault="003D6458" w:rsidP="002508CC">
      <w:pPr>
        <w:spacing w:after="0"/>
        <w:ind w:right="-188"/>
        <w:rPr>
          <w:spacing w:val="-2"/>
        </w:rPr>
      </w:pPr>
      <w:r w:rsidRPr="00712490">
        <w:rPr>
          <w:spacing w:val="-2"/>
        </w:rPr>
        <w:t xml:space="preserve">In </w:t>
      </w:r>
      <w:r w:rsidRPr="00D31935">
        <w:rPr>
          <w:spacing w:val="-2"/>
        </w:rPr>
        <w:t xml:space="preserve">addition to the compulsory support material in the </w:t>
      </w:r>
      <w:hyperlink r:id="rId12" w:history="1">
        <w:r w:rsidRPr="00F80347">
          <w:rPr>
            <w:rStyle w:val="Hyperlink"/>
            <w:spacing w:val="-2"/>
          </w:rPr>
          <w:t>General Funding Guidelines</w:t>
        </w:r>
      </w:hyperlink>
      <w:r w:rsidRPr="00D31935">
        <w:rPr>
          <w:spacing w:val="-2"/>
        </w:rPr>
        <w:t xml:space="preserve">, you must also provide: </w:t>
      </w:r>
    </w:p>
    <w:p w14:paraId="5931EAE1" w14:textId="708DCFC9" w:rsidR="00DC736E" w:rsidRPr="00D31935" w:rsidRDefault="00DC736E" w:rsidP="00BA6DD0">
      <w:pPr>
        <w:pStyle w:val="ListParagraph"/>
        <w:numPr>
          <w:ilvl w:val="0"/>
          <w:numId w:val="14"/>
        </w:numPr>
        <w:spacing w:after="0"/>
        <w:ind w:right="-188"/>
        <w:rPr>
          <w:spacing w:val="-2"/>
        </w:rPr>
      </w:pPr>
      <w:r w:rsidRPr="00D31935">
        <w:rPr>
          <w:spacing w:val="-2"/>
        </w:rPr>
        <w:t>An audience development strategy</w:t>
      </w:r>
      <w:r w:rsidR="00D1626B" w:rsidRPr="00D31935">
        <w:rPr>
          <w:spacing w:val="-2"/>
        </w:rPr>
        <w:t xml:space="preserve"> – plan for engaging and connecting with communities to grow audiences for the touring work</w:t>
      </w:r>
    </w:p>
    <w:p w14:paraId="008A066E" w14:textId="77777777" w:rsidR="00B26BD5" w:rsidRDefault="00886414">
      <w:pPr>
        <w:pStyle w:val="ListParagraph"/>
        <w:numPr>
          <w:ilvl w:val="0"/>
          <w:numId w:val="8"/>
        </w:numPr>
        <w:ind w:right="-188"/>
      </w:pPr>
      <w:r w:rsidRPr="007B15F6">
        <w:rPr>
          <w:b/>
          <w:bCs/>
        </w:rPr>
        <w:t>Single year and single tour funding</w:t>
      </w:r>
      <w:r w:rsidRPr="00712490">
        <w:t xml:space="preserve"> </w:t>
      </w:r>
    </w:p>
    <w:p w14:paraId="14D97A51" w14:textId="767CD97F" w:rsidR="00B26BD5" w:rsidRDefault="00886414" w:rsidP="00B26BD5">
      <w:pPr>
        <w:pStyle w:val="ListParagraph"/>
        <w:numPr>
          <w:ilvl w:val="1"/>
          <w:numId w:val="8"/>
        </w:numPr>
        <w:ind w:right="-188"/>
      </w:pPr>
      <w:r w:rsidRPr="00712490">
        <w:t xml:space="preserve">evidence of </w:t>
      </w:r>
      <w:r w:rsidR="00B26BD5">
        <w:t xml:space="preserve">commitment to </w:t>
      </w:r>
      <w:r w:rsidRPr="00712490">
        <w:t>present</w:t>
      </w:r>
      <w:r w:rsidR="00D963C6">
        <w:t>ing</w:t>
      </w:r>
      <w:r w:rsidRPr="00712490">
        <w:t xml:space="preserve"> the work from at least</w:t>
      </w:r>
      <w:r w:rsidR="003D6458" w:rsidRPr="00712490">
        <w:t xml:space="preserve"> </w:t>
      </w:r>
      <w:r w:rsidRPr="007B15F6">
        <w:rPr>
          <w:b/>
          <w:bCs/>
        </w:rPr>
        <w:t xml:space="preserve">75% </w:t>
      </w:r>
      <w:r w:rsidRPr="00FE7458">
        <w:t xml:space="preserve">of </w:t>
      </w:r>
      <w:r w:rsidR="003D6458" w:rsidRPr="00712490">
        <w:t>participating venues or presenters</w:t>
      </w:r>
      <w:r w:rsidR="00B26BD5">
        <w:t xml:space="preserve"> (commitment can be dependent on funding being secured and can include email correspondence as well as booking forms or contracts etc)</w:t>
      </w:r>
      <w:r w:rsidR="007B15F6">
        <w:t xml:space="preserve">, and </w:t>
      </w:r>
    </w:p>
    <w:p w14:paraId="78F5CDAE" w14:textId="5EF9164D" w:rsidR="00886414" w:rsidRPr="00BA6DD0" w:rsidRDefault="007B15F6" w:rsidP="00405D1F">
      <w:pPr>
        <w:pStyle w:val="ListParagraph"/>
        <w:numPr>
          <w:ilvl w:val="1"/>
          <w:numId w:val="8"/>
        </w:numPr>
        <w:ind w:right="-188"/>
      </w:pPr>
      <w:r>
        <w:t xml:space="preserve">for tours involving schools, </w:t>
      </w:r>
      <w:r w:rsidR="00886414" w:rsidRPr="00BA6DD0">
        <w:t xml:space="preserve">evidence of interest in booking the proposed activity from at least </w:t>
      </w:r>
      <w:r w:rsidR="00886414" w:rsidRPr="007B15F6">
        <w:rPr>
          <w:b/>
          <w:bCs/>
        </w:rPr>
        <w:t>75% of</w:t>
      </w:r>
      <w:r w:rsidR="00886414" w:rsidRPr="00BA6DD0">
        <w:t xml:space="preserve"> participating schools.</w:t>
      </w:r>
    </w:p>
    <w:p w14:paraId="2F74C140" w14:textId="0CBDAC43" w:rsidR="0034730A" w:rsidRPr="0046572A" w:rsidRDefault="00E40A03" w:rsidP="00B0438A">
      <w:pPr>
        <w:pStyle w:val="ListParagraph"/>
        <w:numPr>
          <w:ilvl w:val="0"/>
          <w:numId w:val="8"/>
        </w:numPr>
      </w:pPr>
      <w:r w:rsidRPr="0046572A">
        <w:rPr>
          <w:b/>
          <w:bCs/>
          <w:spacing w:val="-2"/>
        </w:rPr>
        <w:t>Mult</w:t>
      </w:r>
      <w:r w:rsidR="00D31935" w:rsidRPr="0046572A">
        <w:rPr>
          <w:b/>
          <w:bCs/>
          <w:spacing w:val="-2"/>
        </w:rPr>
        <w:t>i</w:t>
      </w:r>
      <w:r w:rsidR="003674BC" w:rsidRPr="0046572A">
        <w:rPr>
          <w:b/>
          <w:bCs/>
          <w:spacing w:val="-2"/>
        </w:rPr>
        <w:t>-</w:t>
      </w:r>
      <w:r w:rsidRPr="0046572A">
        <w:rPr>
          <w:b/>
          <w:bCs/>
          <w:spacing w:val="-2"/>
        </w:rPr>
        <w:t>year</w:t>
      </w:r>
      <w:r w:rsidR="00900333" w:rsidRPr="0046572A">
        <w:rPr>
          <w:b/>
          <w:bCs/>
          <w:spacing w:val="-2"/>
        </w:rPr>
        <w:t xml:space="preserve"> </w:t>
      </w:r>
      <w:r w:rsidRPr="0046572A">
        <w:rPr>
          <w:b/>
          <w:bCs/>
          <w:spacing w:val="-2"/>
        </w:rPr>
        <w:t>t</w:t>
      </w:r>
      <w:r w:rsidR="00900333" w:rsidRPr="0046572A">
        <w:rPr>
          <w:b/>
          <w:bCs/>
          <w:spacing w:val="-2"/>
        </w:rPr>
        <w:t>our</w:t>
      </w:r>
      <w:r w:rsidR="00886414" w:rsidRPr="0046572A">
        <w:rPr>
          <w:b/>
          <w:bCs/>
          <w:spacing w:val="-2"/>
        </w:rPr>
        <w:t>ing</w:t>
      </w:r>
      <w:r w:rsidR="00900333" w:rsidRPr="0046572A">
        <w:rPr>
          <w:b/>
          <w:bCs/>
          <w:spacing w:val="-2"/>
        </w:rPr>
        <w:t xml:space="preserve"> </w:t>
      </w:r>
      <w:r w:rsidR="00886414" w:rsidRPr="0046572A">
        <w:rPr>
          <w:b/>
          <w:bCs/>
          <w:spacing w:val="-2"/>
        </w:rPr>
        <w:t>f</w:t>
      </w:r>
      <w:r w:rsidR="00900333" w:rsidRPr="0046572A">
        <w:rPr>
          <w:b/>
          <w:bCs/>
          <w:spacing w:val="-2"/>
        </w:rPr>
        <w:t>und</w:t>
      </w:r>
      <w:r w:rsidR="00886414" w:rsidRPr="0046572A">
        <w:rPr>
          <w:b/>
          <w:bCs/>
          <w:spacing w:val="-2"/>
        </w:rPr>
        <w:t>ing</w:t>
      </w:r>
      <w:r w:rsidR="0034730A" w:rsidRPr="0046572A">
        <w:rPr>
          <w:spacing w:val="-2"/>
        </w:rPr>
        <w:t>;</w:t>
      </w:r>
    </w:p>
    <w:p w14:paraId="618C497E" w14:textId="747531EA" w:rsidR="0034730A" w:rsidRPr="0046572A" w:rsidRDefault="004F5E30" w:rsidP="0034730A">
      <w:pPr>
        <w:pStyle w:val="ListParagraph"/>
        <w:numPr>
          <w:ilvl w:val="1"/>
          <w:numId w:val="8"/>
        </w:numPr>
      </w:pPr>
      <w:r w:rsidRPr="0046572A">
        <w:rPr>
          <w:spacing w:val="-2"/>
        </w:rPr>
        <w:t>F</w:t>
      </w:r>
      <w:r w:rsidR="0034730A" w:rsidRPr="0046572A">
        <w:rPr>
          <w:spacing w:val="-2"/>
        </w:rPr>
        <w:t xml:space="preserve">or </w:t>
      </w:r>
      <w:r w:rsidR="0034730A" w:rsidRPr="0046572A">
        <w:t xml:space="preserve">touring programs that repeat visits to the </w:t>
      </w:r>
      <w:r w:rsidR="0034730A" w:rsidRPr="0046572A">
        <w:rPr>
          <w:b/>
          <w:bCs/>
        </w:rPr>
        <w:t xml:space="preserve">same circuit </w:t>
      </w:r>
      <w:r w:rsidR="0034730A" w:rsidRPr="0046572A">
        <w:t xml:space="preserve">over the period, evidence of </w:t>
      </w:r>
      <w:r w:rsidR="00B0438A" w:rsidRPr="0046572A">
        <w:t xml:space="preserve">a </w:t>
      </w:r>
      <w:r w:rsidR="0034730A" w:rsidRPr="0046572A">
        <w:t>commitment to invest in Year 1 touring program and interest in Year 2 from all participating venues or presenters across the program</w:t>
      </w:r>
    </w:p>
    <w:p w14:paraId="24DC7FD2" w14:textId="594B2C53" w:rsidR="008203C8" w:rsidRPr="0046572A" w:rsidRDefault="0034730A">
      <w:pPr>
        <w:pStyle w:val="ListParagraph"/>
        <w:numPr>
          <w:ilvl w:val="1"/>
          <w:numId w:val="8"/>
        </w:numPr>
      </w:pPr>
      <w:r w:rsidRPr="0046572A">
        <w:t xml:space="preserve">For touring programs to </w:t>
      </w:r>
      <w:r w:rsidRPr="0046572A">
        <w:rPr>
          <w:b/>
          <w:bCs/>
        </w:rPr>
        <w:t>different circuits</w:t>
      </w:r>
      <w:r w:rsidRPr="0046572A">
        <w:t xml:space="preserve"> across the perio</w:t>
      </w:r>
      <w:r w:rsidR="004F5E30" w:rsidRPr="0046572A">
        <w:t>d</w:t>
      </w:r>
      <w:r w:rsidRPr="0046572A">
        <w:t>,</w:t>
      </w:r>
      <w:r w:rsidR="004F5E30" w:rsidRPr="0046572A">
        <w:t xml:space="preserve"> </w:t>
      </w:r>
      <w:r w:rsidR="00EE3DA5" w:rsidRPr="0046572A">
        <w:t xml:space="preserve">evidence of commitment </w:t>
      </w:r>
      <w:r w:rsidRPr="0046572A">
        <w:t>from all participating venues or presenters across the year one program</w:t>
      </w:r>
      <w:r w:rsidRPr="0046572A" w:rsidDel="0034730A">
        <w:t xml:space="preserve"> </w:t>
      </w:r>
      <w:r w:rsidR="00FF61B0" w:rsidRPr="0046572A">
        <w:rPr>
          <w:u w:val="single"/>
        </w:rPr>
        <w:t>and</w:t>
      </w:r>
      <w:r w:rsidR="00FF61B0" w:rsidRPr="0046572A">
        <w:t xml:space="preserve"> </w:t>
      </w:r>
      <w:r w:rsidR="00A60219" w:rsidRPr="0046572A">
        <w:rPr>
          <w:spacing w:val="-2"/>
        </w:rPr>
        <w:t>the</w:t>
      </w:r>
      <w:r w:rsidR="008203C8" w:rsidRPr="0046572A">
        <w:rPr>
          <w:spacing w:val="-2"/>
        </w:rPr>
        <w:t xml:space="preserve"> audience development strat</w:t>
      </w:r>
      <w:r w:rsidR="00FF61B0" w:rsidRPr="0046572A">
        <w:rPr>
          <w:spacing w:val="-2"/>
        </w:rPr>
        <w:t>e</w:t>
      </w:r>
      <w:r w:rsidR="008203C8" w:rsidRPr="0046572A">
        <w:rPr>
          <w:spacing w:val="-2"/>
        </w:rPr>
        <w:t xml:space="preserve">gy </w:t>
      </w:r>
      <w:r w:rsidR="0074297B" w:rsidRPr="0046572A">
        <w:rPr>
          <w:spacing w:val="-2"/>
        </w:rPr>
        <w:t xml:space="preserve">must also </w:t>
      </w:r>
      <w:r w:rsidR="008203C8" w:rsidRPr="0046572A">
        <w:rPr>
          <w:spacing w:val="-2"/>
        </w:rPr>
        <w:t>demonstrat</w:t>
      </w:r>
      <w:r w:rsidR="0074297B" w:rsidRPr="0046572A">
        <w:rPr>
          <w:spacing w:val="-2"/>
        </w:rPr>
        <w:t>e</w:t>
      </w:r>
      <w:r w:rsidR="008203C8" w:rsidRPr="0046572A">
        <w:rPr>
          <w:spacing w:val="-2"/>
        </w:rPr>
        <w:t xml:space="preserve"> how multi</w:t>
      </w:r>
      <w:r w:rsidR="00FF61B0" w:rsidRPr="0046572A">
        <w:rPr>
          <w:spacing w:val="-2"/>
        </w:rPr>
        <w:t>-</w:t>
      </w:r>
      <w:r w:rsidR="008203C8" w:rsidRPr="0046572A">
        <w:rPr>
          <w:spacing w:val="-2"/>
        </w:rPr>
        <w:t xml:space="preserve">year activity will grow audiences for the touring artist or the artform </w:t>
      </w:r>
    </w:p>
    <w:p w14:paraId="5B923950" w14:textId="0758BF66" w:rsidR="00202991" w:rsidRPr="0046572A" w:rsidRDefault="00202991" w:rsidP="00B0438A">
      <w:pPr>
        <w:pStyle w:val="ListParagraph"/>
        <w:numPr>
          <w:ilvl w:val="0"/>
          <w:numId w:val="8"/>
        </w:numPr>
      </w:pPr>
      <w:r w:rsidRPr="0046572A">
        <w:rPr>
          <w:spacing w:val="-2"/>
        </w:rPr>
        <w:t>Applications from consortia of venues or presenters must clearly identify a lead organisation that will manage the funding contract, if successful.</w:t>
      </w:r>
    </w:p>
    <w:p w14:paraId="0C1DBBD6" w14:textId="5E635A84" w:rsidR="00A60219" w:rsidRDefault="00A60219" w:rsidP="003D6458">
      <w:pPr>
        <w:ind w:right="-188"/>
        <w:rPr>
          <w:spacing w:val="-2"/>
        </w:rPr>
      </w:pPr>
      <w:r w:rsidRPr="0046572A">
        <w:rPr>
          <w:spacing w:val="-2"/>
        </w:rPr>
        <w:t>Applications that do not provide an audience development plan will not be considered eligible for assessment.</w:t>
      </w:r>
    </w:p>
    <w:p w14:paraId="3B685BCA" w14:textId="77777777" w:rsidR="001833FC" w:rsidRDefault="001833FC" w:rsidP="003D6458">
      <w:pPr>
        <w:ind w:right="-188"/>
      </w:pPr>
    </w:p>
    <w:p w14:paraId="67F100B1" w14:textId="77777777" w:rsidR="001833FC" w:rsidRDefault="001833FC" w:rsidP="003D6458">
      <w:pPr>
        <w:ind w:right="-188"/>
      </w:pPr>
    </w:p>
    <w:p w14:paraId="41F1B3E9" w14:textId="77777777" w:rsidR="001833FC" w:rsidRDefault="001833FC" w:rsidP="003D6458">
      <w:pPr>
        <w:ind w:right="-188"/>
      </w:pPr>
    </w:p>
    <w:p w14:paraId="5CC4C3E5" w14:textId="77777777" w:rsidR="001833FC" w:rsidRDefault="001833FC" w:rsidP="003D6458">
      <w:pPr>
        <w:ind w:right="-188"/>
      </w:pPr>
    </w:p>
    <w:p w14:paraId="30F3BC20" w14:textId="1A196F05" w:rsidR="00B668B1" w:rsidRDefault="003D6458" w:rsidP="003D6458">
      <w:pPr>
        <w:ind w:right="-188"/>
      </w:pPr>
      <w:r w:rsidRPr="00712490">
        <w:lastRenderedPageBreak/>
        <w:t>Applications must be submitted by the Fund closing dates</w:t>
      </w:r>
      <w:r w:rsidR="00B668B1" w:rsidRPr="00712490">
        <w:t xml:space="preserve"> as outlined below.</w:t>
      </w:r>
    </w:p>
    <w:p w14:paraId="14C1AF31" w14:textId="7A77D27C" w:rsidR="003D6458" w:rsidRPr="00712490" w:rsidRDefault="00B668B1" w:rsidP="003D6458">
      <w:pPr>
        <w:ind w:right="-188"/>
        <w:rPr>
          <w:b/>
          <w:bCs/>
        </w:rPr>
      </w:pPr>
      <w:bookmarkStart w:id="14" w:name="_Hlk116634046"/>
      <w:r w:rsidRPr="00712490">
        <w:rPr>
          <w:b/>
          <w:bCs/>
          <w:i/>
          <w:iCs/>
        </w:rPr>
        <w:t>Key application dates</w:t>
      </w:r>
    </w:p>
    <w:tbl>
      <w:tblPr>
        <w:tblStyle w:val="TableGrid"/>
        <w:tblW w:w="963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736"/>
        <w:gridCol w:w="1878"/>
        <w:gridCol w:w="2061"/>
        <w:gridCol w:w="1984"/>
      </w:tblGrid>
      <w:tr w:rsidR="00B668B1" w:rsidRPr="00712490" w14:paraId="55AE511D" w14:textId="24C5B6D0" w:rsidTr="00302302">
        <w:tc>
          <w:tcPr>
            <w:tcW w:w="1980" w:type="dxa"/>
            <w:shd w:val="clear" w:color="auto" w:fill="368A56"/>
          </w:tcPr>
          <w:p w14:paraId="41A4AF0D" w14:textId="77777777" w:rsidR="00B668B1" w:rsidRPr="005A2A06" w:rsidRDefault="00B668B1" w:rsidP="005A2A06">
            <w:pPr>
              <w:spacing w:before="40" w:after="40"/>
              <w:ind w:right="-188"/>
              <w:rPr>
                <w:b/>
                <w:bCs/>
                <w:color w:val="FFFFFF" w:themeColor="background1"/>
              </w:rPr>
            </w:pPr>
          </w:p>
        </w:tc>
        <w:tc>
          <w:tcPr>
            <w:tcW w:w="1736" w:type="dxa"/>
            <w:shd w:val="clear" w:color="auto" w:fill="368A56"/>
          </w:tcPr>
          <w:p w14:paraId="71266024" w14:textId="1C251C1B" w:rsidR="00B668B1" w:rsidRPr="005A2A06" w:rsidRDefault="00B668B1" w:rsidP="005A2A06">
            <w:pPr>
              <w:spacing w:before="40" w:after="40"/>
              <w:ind w:right="-188"/>
              <w:rPr>
                <w:b/>
                <w:bCs/>
                <w:color w:val="FFFFFF" w:themeColor="background1"/>
              </w:rPr>
            </w:pPr>
            <w:r w:rsidRPr="005A2A06">
              <w:rPr>
                <w:b/>
                <w:bCs/>
                <w:color w:val="FFFFFF" w:themeColor="background1"/>
              </w:rPr>
              <w:t>Open</w:t>
            </w:r>
          </w:p>
        </w:tc>
        <w:tc>
          <w:tcPr>
            <w:tcW w:w="1878" w:type="dxa"/>
            <w:shd w:val="clear" w:color="auto" w:fill="368A56"/>
          </w:tcPr>
          <w:p w14:paraId="65DC6BC6" w14:textId="4C9AFE9B" w:rsidR="00B668B1" w:rsidRPr="005A2A06" w:rsidRDefault="00B668B1" w:rsidP="005A2A06">
            <w:pPr>
              <w:spacing w:before="40" w:after="40"/>
              <w:ind w:right="-188"/>
              <w:rPr>
                <w:b/>
                <w:bCs/>
                <w:color w:val="FFFFFF" w:themeColor="background1"/>
              </w:rPr>
            </w:pPr>
            <w:r w:rsidRPr="005A2A06">
              <w:rPr>
                <w:b/>
                <w:bCs/>
                <w:color w:val="FFFFFF" w:themeColor="background1"/>
              </w:rPr>
              <w:t>Close</w:t>
            </w:r>
          </w:p>
        </w:tc>
        <w:tc>
          <w:tcPr>
            <w:tcW w:w="2061" w:type="dxa"/>
            <w:shd w:val="clear" w:color="auto" w:fill="368A56"/>
          </w:tcPr>
          <w:p w14:paraId="541F73E7" w14:textId="4F2B14A8" w:rsidR="00B668B1" w:rsidRPr="005A2A06" w:rsidRDefault="00B668B1" w:rsidP="005A2A06">
            <w:pPr>
              <w:spacing w:before="40" w:after="40"/>
              <w:ind w:right="-188"/>
              <w:rPr>
                <w:b/>
                <w:bCs/>
                <w:color w:val="FFFFFF" w:themeColor="background1"/>
              </w:rPr>
            </w:pPr>
            <w:r w:rsidRPr="005A2A06">
              <w:rPr>
                <w:b/>
                <w:bCs/>
                <w:color w:val="FFFFFF" w:themeColor="background1"/>
              </w:rPr>
              <w:t>Notification</w:t>
            </w:r>
          </w:p>
        </w:tc>
        <w:tc>
          <w:tcPr>
            <w:tcW w:w="1984" w:type="dxa"/>
            <w:shd w:val="clear" w:color="auto" w:fill="368A56"/>
          </w:tcPr>
          <w:p w14:paraId="50030894" w14:textId="0F0D4BFD" w:rsidR="00B668B1" w:rsidRPr="005A2A06" w:rsidRDefault="00B668B1" w:rsidP="005A2A06">
            <w:pPr>
              <w:spacing w:before="40" w:after="40"/>
              <w:ind w:right="-188"/>
              <w:rPr>
                <w:b/>
                <w:bCs/>
                <w:color w:val="FFFFFF" w:themeColor="background1"/>
              </w:rPr>
            </w:pPr>
            <w:r w:rsidRPr="005A2A06">
              <w:rPr>
                <w:b/>
                <w:bCs/>
                <w:color w:val="FFFFFF" w:themeColor="background1"/>
              </w:rPr>
              <w:t>Activity Start Date</w:t>
            </w:r>
          </w:p>
        </w:tc>
      </w:tr>
      <w:tr w:rsidR="00797DDD" w14:paraId="53D2AA6C" w14:textId="77777777" w:rsidTr="00302302">
        <w:tc>
          <w:tcPr>
            <w:tcW w:w="1980" w:type="dxa"/>
          </w:tcPr>
          <w:p w14:paraId="3C7BC4D2" w14:textId="20936481" w:rsidR="00797DDD" w:rsidRDefault="00797DDD" w:rsidP="00797DDD">
            <w:pPr>
              <w:spacing w:before="40" w:after="40"/>
              <w:ind w:right="-188"/>
              <w:rPr>
                <w:b/>
                <w:bCs/>
              </w:rPr>
            </w:pPr>
            <w:r>
              <w:rPr>
                <w:b/>
                <w:bCs/>
              </w:rPr>
              <w:t>Round 5</w:t>
            </w:r>
          </w:p>
          <w:p w14:paraId="78C6FF95" w14:textId="2EB0DEB0" w:rsidR="00797DDD" w:rsidRDefault="00797DDD" w:rsidP="00797DDD">
            <w:pPr>
              <w:spacing w:before="40" w:after="40"/>
              <w:ind w:right="-188"/>
              <w:rPr>
                <w:b/>
                <w:bCs/>
              </w:rPr>
            </w:pPr>
          </w:p>
        </w:tc>
        <w:tc>
          <w:tcPr>
            <w:tcW w:w="1736" w:type="dxa"/>
          </w:tcPr>
          <w:p w14:paraId="0547EB6C" w14:textId="40D422D7" w:rsidR="00797DDD" w:rsidRDefault="005836F9" w:rsidP="00797DDD">
            <w:pPr>
              <w:spacing w:before="40" w:after="40"/>
              <w:ind w:right="-188"/>
            </w:pPr>
            <w:r>
              <w:t>19</w:t>
            </w:r>
            <w:r w:rsidR="00797DDD">
              <w:t xml:space="preserve"> August 202</w:t>
            </w:r>
            <w:r>
              <w:t>4</w:t>
            </w:r>
          </w:p>
        </w:tc>
        <w:tc>
          <w:tcPr>
            <w:tcW w:w="1878" w:type="dxa"/>
          </w:tcPr>
          <w:p w14:paraId="331F3E1D" w14:textId="0F065FB7" w:rsidR="00797DDD" w:rsidDel="00241D1D" w:rsidRDefault="00797DDD" w:rsidP="00797DDD">
            <w:pPr>
              <w:spacing w:before="40" w:after="40"/>
              <w:ind w:right="-188"/>
            </w:pPr>
            <w:r>
              <w:t>2pm</w:t>
            </w:r>
            <w:r>
              <w:br/>
            </w:r>
            <w:r w:rsidR="005836F9">
              <w:t>30 September</w:t>
            </w:r>
            <w:r>
              <w:t xml:space="preserve"> 202</w:t>
            </w:r>
            <w:r w:rsidR="005836F9">
              <w:t>4</w:t>
            </w:r>
          </w:p>
        </w:tc>
        <w:tc>
          <w:tcPr>
            <w:tcW w:w="2061" w:type="dxa"/>
          </w:tcPr>
          <w:p w14:paraId="509EBAFF" w14:textId="315B8B51" w:rsidR="00797DDD" w:rsidRDefault="00C575AA" w:rsidP="00797DDD">
            <w:pPr>
              <w:spacing w:before="40" w:after="40"/>
              <w:ind w:right="-188"/>
            </w:pPr>
            <w:r>
              <w:t>Mid</w:t>
            </w:r>
            <w:r w:rsidR="00797DDD">
              <w:t xml:space="preserve"> December</w:t>
            </w:r>
            <w:r w:rsidR="005836F9">
              <w:t xml:space="preserve"> 2024</w:t>
            </w:r>
          </w:p>
        </w:tc>
        <w:tc>
          <w:tcPr>
            <w:tcW w:w="1984" w:type="dxa"/>
          </w:tcPr>
          <w:p w14:paraId="7F6CF851" w14:textId="5A311A28" w:rsidR="00797DDD" w:rsidRDefault="00797DDD" w:rsidP="00797DDD">
            <w:pPr>
              <w:spacing w:before="40" w:after="40"/>
              <w:ind w:left="172" w:right="-111"/>
            </w:pPr>
            <w:r>
              <w:t>1</w:t>
            </w:r>
            <w:r w:rsidR="005836F9">
              <w:t>3</w:t>
            </w:r>
            <w:r>
              <w:t xml:space="preserve"> January 202</w:t>
            </w:r>
            <w:r w:rsidR="005836F9">
              <w:t>4</w:t>
            </w:r>
          </w:p>
          <w:p w14:paraId="7478A804" w14:textId="77777777" w:rsidR="00797DDD" w:rsidRDefault="00797DDD" w:rsidP="00797DDD">
            <w:pPr>
              <w:spacing w:before="40" w:after="40"/>
              <w:ind w:left="172" w:right="-111"/>
            </w:pPr>
          </w:p>
        </w:tc>
      </w:tr>
    </w:tbl>
    <w:bookmarkEnd w:id="14"/>
    <w:p w14:paraId="57103F79" w14:textId="1E81CD6F" w:rsidR="00DE02CA" w:rsidRDefault="003D6458" w:rsidP="00DE02CA">
      <w:pPr>
        <w:spacing w:before="120"/>
        <w:ind w:right="-187"/>
        <w:rPr>
          <w:rFonts w:cstheme="minorHAnsi"/>
          <w:color w:val="000000"/>
        </w:rPr>
      </w:pPr>
      <w:r w:rsidRPr="00B22061">
        <w:rPr>
          <w:rFonts w:cstheme="minorHAnsi"/>
          <w:b/>
          <w:bCs/>
          <w:color w:val="000000"/>
        </w:rPr>
        <w:t>For support</w:t>
      </w:r>
      <w:r w:rsidRPr="00B22061">
        <w:rPr>
          <w:rFonts w:cstheme="minorHAnsi"/>
          <w:color w:val="000000"/>
        </w:rPr>
        <w:t xml:space="preserve"> with technical issues related to the online application, please contact an Arts Queensland Grants Officer on telephone (07) 3034 4016 or toll free 1800 175 531</w:t>
      </w:r>
      <w:r w:rsidR="00B668B1">
        <w:rPr>
          <w:rFonts w:cstheme="minorHAnsi"/>
          <w:color w:val="000000"/>
        </w:rPr>
        <w:t xml:space="preserve"> or </w:t>
      </w:r>
      <w:r w:rsidR="00B668B1" w:rsidRPr="00712490">
        <w:rPr>
          <w:rFonts w:cstheme="minorHAnsi"/>
          <w:color w:val="000000"/>
        </w:rPr>
        <w:t xml:space="preserve">email </w:t>
      </w:r>
      <w:hyperlink r:id="rId13" w:history="1">
        <w:r w:rsidR="00DE02CA" w:rsidRPr="00CC6845">
          <w:rPr>
            <w:rStyle w:val="Hyperlink"/>
            <w:rFonts w:cstheme="minorHAnsi"/>
          </w:rPr>
          <w:t>investment@arts.qld.gov.au</w:t>
        </w:r>
      </w:hyperlink>
      <w:r w:rsidRPr="00BF21D9">
        <w:rPr>
          <w:rFonts w:cstheme="minorHAnsi"/>
          <w:color w:val="000000"/>
        </w:rPr>
        <w:t>.</w:t>
      </w:r>
      <w:r w:rsidRPr="00B22061">
        <w:rPr>
          <w:rFonts w:cstheme="minorHAnsi"/>
          <w:color w:val="000000"/>
        </w:rPr>
        <w:t xml:space="preserve"> </w:t>
      </w:r>
      <w:bookmarkEnd w:id="13"/>
    </w:p>
    <w:p w14:paraId="24ECF2D9" w14:textId="74BECBDC" w:rsidR="00830722" w:rsidRDefault="00830722" w:rsidP="00BA6DD0">
      <w:pPr>
        <w:spacing w:before="120"/>
        <w:ind w:right="-187"/>
        <w:rPr>
          <w:rFonts w:cstheme="minorHAnsi"/>
          <w:color w:val="000000"/>
        </w:rPr>
      </w:pPr>
      <w:r>
        <w:rPr>
          <w:rFonts w:cstheme="minorHAnsi"/>
          <w:color w:val="000000"/>
          <w:u w:val="single"/>
        </w:rPr>
        <w:t>Note</w:t>
      </w:r>
      <w:r>
        <w:rPr>
          <w:rFonts w:cstheme="minorHAnsi"/>
          <w:color w:val="000000"/>
        </w:rPr>
        <w:t>: Arts Queensland reserves the right to modify the Fund Guidelines at any time. Applicants will be notified of changes.</w:t>
      </w:r>
    </w:p>
    <w:p w14:paraId="569FB5C6" w14:textId="2ACC6A3D" w:rsidR="00C11E6A" w:rsidRDefault="00C11E6A" w:rsidP="00BA6DD0">
      <w:pPr>
        <w:spacing w:before="120"/>
        <w:ind w:right="-187"/>
        <w:rPr>
          <w:rFonts w:cstheme="minorHAnsi"/>
          <w:color w:val="000000"/>
        </w:rPr>
      </w:pPr>
    </w:p>
    <w:p w14:paraId="3824F6BC" w14:textId="05873837" w:rsidR="00BD548E" w:rsidRPr="00C57411" w:rsidRDefault="00BD548E" w:rsidP="007573E3">
      <w:pPr>
        <w:spacing w:before="120"/>
        <w:ind w:right="-187"/>
      </w:pPr>
      <w:r>
        <w:t xml:space="preserve"> </w:t>
      </w:r>
    </w:p>
    <w:sectPr w:rsidR="00BD548E" w:rsidRPr="00C57411" w:rsidSect="00EE05E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985" w:right="1134" w:bottom="709" w:left="1134" w:header="284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87B74" w14:textId="77777777" w:rsidR="009A575F" w:rsidRDefault="009A575F" w:rsidP="00D67027">
      <w:pPr>
        <w:spacing w:after="0" w:line="240" w:lineRule="auto"/>
      </w:pPr>
      <w:r>
        <w:separator/>
      </w:r>
    </w:p>
  </w:endnote>
  <w:endnote w:type="continuationSeparator" w:id="0">
    <w:p w14:paraId="3B725F28" w14:textId="77777777" w:rsidR="009A575F" w:rsidRDefault="009A575F" w:rsidP="00D67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taPro-Nor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C7A50" w14:textId="77777777" w:rsidR="00EF48F5" w:rsidRDefault="00EF48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67E9F" w14:textId="0D6B3A20" w:rsidR="00D67027" w:rsidRPr="00D67027" w:rsidRDefault="00D67027" w:rsidP="00D67027">
    <w:pPr>
      <w:pStyle w:val="Footer"/>
      <w:pBdr>
        <w:top w:val="single" w:sz="4" w:space="1" w:color="auto"/>
      </w:pBdr>
      <w:spacing w:before="120"/>
      <w:jc w:val="center"/>
      <w:rPr>
        <w:b/>
        <w:bCs/>
        <w:color w:val="808080" w:themeColor="background1" w:themeShade="80"/>
      </w:rPr>
    </w:pPr>
    <w:bookmarkStart w:id="15" w:name="_Hlk113868463"/>
    <w:bookmarkStart w:id="16" w:name="_Hlk113868464"/>
    <w:r w:rsidRPr="00DC1C4C">
      <w:rPr>
        <w:b/>
        <w:bCs/>
        <w:color w:val="808080" w:themeColor="background1" w:themeShade="80"/>
      </w:rPr>
      <w:t>These guidelines should be read alongside the General Funding Guidelines</w:t>
    </w:r>
    <w:bookmarkEnd w:id="15"/>
    <w:bookmarkEnd w:id="1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CEFAF" w14:textId="7A5FA20A" w:rsidR="00317581" w:rsidRPr="003674BC" w:rsidRDefault="00317581" w:rsidP="003674BC">
    <w:pPr>
      <w:pStyle w:val="Footer"/>
      <w:pBdr>
        <w:top w:val="single" w:sz="4" w:space="1" w:color="auto"/>
      </w:pBdr>
      <w:spacing w:before="120"/>
      <w:jc w:val="center"/>
      <w:rPr>
        <w:b/>
        <w:bCs/>
        <w:color w:val="808080" w:themeColor="background1" w:themeShade="80"/>
      </w:rPr>
    </w:pPr>
    <w:r w:rsidRPr="00DC1C4C">
      <w:rPr>
        <w:b/>
        <w:bCs/>
        <w:color w:val="808080" w:themeColor="background1" w:themeShade="80"/>
      </w:rPr>
      <w:t>These guidelines should be read alongside the General Funding Guidelines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10302" w14:textId="77777777" w:rsidR="009A575F" w:rsidRDefault="009A575F" w:rsidP="00D67027">
      <w:pPr>
        <w:spacing w:after="0" w:line="240" w:lineRule="auto"/>
      </w:pPr>
      <w:r>
        <w:separator/>
      </w:r>
    </w:p>
  </w:footnote>
  <w:footnote w:type="continuationSeparator" w:id="0">
    <w:p w14:paraId="64A30731" w14:textId="77777777" w:rsidR="009A575F" w:rsidRDefault="009A575F" w:rsidP="00D67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69045" w14:textId="77777777" w:rsidR="00EF48F5" w:rsidRDefault="00EF48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562D1" w14:textId="77777777" w:rsidR="00EF48F5" w:rsidRDefault="00EF48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076AA" w14:textId="0961C1FF" w:rsidR="00317581" w:rsidRDefault="00E7114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08C73EB" wp14:editId="636D3513">
          <wp:simplePos x="0" y="0"/>
          <wp:positionH relativeFrom="margin">
            <wp:align>center</wp:align>
          </wp:positionH>
          <wp:positionV relativeFrom="paragraph">
            <wp:posOffset>-6350</wp:posOffset>
          </wp:positionV>
          <wp:extent cx="7243200" cy="961200"/>
          <wp:effectExtent l="0" t="0" r="0" b="0"/>
          <wp:wrapNone/>
          <wp:docPr id="22" name="Picture 1" descr="A picture containing text, screenshot, graphic design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099982" name="Picture 1" descr="A picture containing text, screenshot, graphic design, graphic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43200" cy="96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EEF"/>
    <w:multiLevelType w:val="hybridMultilevel"/>
    <w:tmpl w:val="ED48922A"/>
    <w:lvl w:ilvl="0" w:tplc="1990F8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F260D3"/>
    <w:multiLevelType w:val="hybridMultilevel"/>
    <w:tmpl w:val="74CE9D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B6118"/>
    <w:multiLevelType w:val="hybridMultilevel"/>
    <w:tmpl w:val="522E27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8363B4"/>
    <w:multiLevelType w:val="hybridMultilevel"/>
    <w:tmpl w:val="DB0A88F8"/>
    <w:lvl w:ilvl="0" w:tplc="9CDC3E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97471"/>
    <w:multiLevelType w:val="hybridMultilevel"/>
    <w:tmpl w:val="46361180"/>
    <w:lvl w:ilvl="0" w:tplc="B088F9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945BE"/>
    <w:multiLevelType w:val="hybridMultilevel"/>
    <w:tmpl w:val="A580C47A"/>
    <w:lvl w:ilvl="0" w:tplc="2CC03DB2">
      <w:start w:val="1"/>
      <w:numFmt w:val="bullet"/>
      <w:pStyle w:val="Heading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C3A12"/>
    <w:multiLevelType w:val="hybridMultilevel"/>
    <w:tmpl w:val="419203A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31163"/>
    <w:multiLevelType w:val="hybridMultilevel"/>
    <w:tmpl w:val="4C5CE3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821AD"/>
    <w:multiLevelType w:val="hybridMultilevel"/>
    <w:tmpl w:val="31A00D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131C9"/>
    <w:multiLevelType w:val="hybridMultilevel"/>
    <w:tmpl w:val="DF880092"/>
    <w:lvl w:ilvl="0" w:tplc="C9E4D4FC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84014"/>
    <w:multiLevelType w:val="hybridMultilevel"/>
    <w:tmpl w:val="1F4E71E4"/>
    <w:lvl w:ilvl="0" w:tplc="0F6CE960">
      <w:numFmt w:val="bullet"/>
      <w:lvlText w:val="•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87B8F"/>
    <w:multiLevelType w:val="hybridMultilevel"/>
    <w:tmpl w:val="D2FA3AC2"/>
    <w:lvl w:ilvl="0" w:tplc="5A2A5FBE">
      <w:start w:val="1"/>
      <w:numFmt w:val="bullet"/>
      <w:pStyle w:val="Finaldotpoin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724D7"/>
    <w:multiLevelType w:val="hybridMultilevel"/>
    <w:tmpl w:val="C8DC560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0B5E18"/>
    <w:multiLevelType w:val="hybridMultilevel"/>
    <w:tmpl w:val="F32A42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07817"/>
    <w:multiLevelType w:val="hybridMultilevel"/>
    <w:tmpl w:val="70421CE6"/>
    <w:lvl w:ilvl="0" w:tplc="C9E4D4FC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7863BD"/>
    <w:multiLevelType w:val="hybridMultilevel"/>
    <w:tmpl w:val="6AACB9E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5518472">
    <w:abstractNumId w:val="3"/>
  </w:num>
  <w:num w:numId="2" w16cid:durableId="1013339220">
    <w:abstractNumId w:val="10"/>
  </w:num>
  <w:num w:numId="3" w16cid:durableId="1234049317">
    <w:abstractNumId w:val="7"/>
  </w:num>
  <w:num w:numId="4" w16cid:durableId="1345864245">
    <w:abstractNumId w:val="1"/>
  </w:num>
  <w:num w:numId="5" w16cid:durableId="1641763939">
    <w:abstractNumId w:val="5"/>
  </w:num>
  <w:num w:numId="6" w16cid:durableId="1453012950">
    <w:abstractNumId w:val="11"/>
  </w:num>
  <w:num w:numId="7" w16cid:durableId="1140465198">
    <w:abstractNumId w:val="12"/>
  </w:num>
  <w:num w:numId="8" w16cid:durableId="877082343">
    <w:abstractNumId w:val="8"/>
  </w:num>
  <w:num w:numId="9" w16cid:durableId="1676608410">
    <w:abstractNumId w:val="15"/>
  </w:num>
  <w:num w:numId="10" w16cid:durableId="1060207990">
    <w:abstractNumId w:val="9"/>
  </w:num>
  <w:num w:numId="11" w16cid:durableId="2032342298">
    <w:abstractNumId w:val="14"/>
  </w:num>
  <w:num w:numId="12" w16cid:durableId="481627747">
    <w:abstractNumId w:val="2"/>
  </w:num>
  <w:num w:numId="13" w16cid:durableId="1046177638">
    <w:abstractNumId w:val="12"/>
  </w:num>
  <w:num w:numId="14" w16cid:durableId="1473593946">
    <w:abstractNumId w:val="13"/>
  </w:num>
  <w:num w:numId="15" w16cid:durableId="898250920">
    <w:abstractNumId w:val="0"/>
  </w:num>
  <w:num w:numId="16" w16cid:durableId="548689576">
    <w:abstractNumId w:val="6"/>
  </w:num>
  <w:num w:numId="17" w16cid:durableId="5238296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8A9"/>
    <w:rsid w:val="00005302"/>
    <w:rsid w:val="00006D00"/>
    <w:rsid w:val="00007BA7"/>
    <w:rsid w:val="0002281D"/>
    <w:rsid w:val="0002548D"/>
    <w:rsid w:val="000256EF"/>
    <w:rsid w:val="00037498"/>
    <w:rsid w:val="00046F02"/>
    <w:rsid w:val="000520EB"/>
    <w:rsid w:val="00060386"/>
    <w:rsid w:val="00060EAA"/>
    <w:rsid w:val="00070277"/>
    <w:rsid w:val="00072336"/>
    <w:rsid w:val="00096CEC"/>
    <w:rsid w:val="0009706C"/>
    <w:rsid w:val="000B2085"/>
    <w:rsid w:val="000B76F3"/>
    <w:rsid w:val="000C2CCA"/>
    <w:rsid w:val="000D711A"/>
    <w:rsid w:val="000E12E2"/>
    <w:rsid w:val="000E184E"/>
    <w:rsid w:val="000E27E4"/>
    <w:rsid w:val="000E5A2C"/>
    <w:rsid w:val="000F7C3B"/>
    <w:rsid w:val="00102476"/>
    <w:rsid w:val="0010693A"/>
    <w:rsid w:val="00114BE4"/>
    <w:rsid w:val="00117C17"/>
    <w:rsid w:val="00146485"/>
    <w:rsid w:val="00147990"/>
    <w:rsid w:val="001574BC"/>
    <w:rsid w:val="0016094E"/>
    <w:rsid w:val="0016503C"/>
    <w:rsid w:val="001665AA"/>
    <w:rsid w:val="001833FC"/>
    <w:rsid w:val="0018707B"/>
    <w:rsid w:val="00197851"/>
    <w:rsid w:val="001A15AB"/>
    <w:rsid w:val="001A28AB"/>
    <w:rsid w:val="001B63B3"/>
    <w:rsid w:val="001C07E3"/>
    <w:rsid w:val="001C3D37"/>
    <w:rsid w:val="001C41E2"/>
    <w:rsid w:val="001C4F32"/>
    <w:rsid w:val="001D3484"/>
    <w:rsid w:val="001D4258"/>
    <w:rsid w:val="0020042C"/>
    <w:rsid w:val="00202991"/>
    <w:rsid w:val="00205C0A"/>
    <w:rsid w:val="002100B6"/>
    <w:rsid w:val="002102CA"/>
    <w:rsid w:val="002151AE"/>
    <w:rsid w:val="00220F0E"/>
    <w:rsid w:val="00230C80"/>
    <w:rsid w:val="002363E4"/>
    <w:rsid w:val="002365A1"/>
    <w:rsid w:val="00241D1D"/>
    <w:rsid w:val="002508CC"/>
    <w:rsid w:val="00250B93"/>
    <w:rsid w:val="002518F6"/>
    <w:rsid w:val="00271599"/>
    <w:rsid w:val="0028659F"/>
    <w:rsid w:val="00297CCD"/>
    <w:rsid w:val="002A4600"/>
    <w:rsid w:val="002A4B30"/>
    <w:rsid w:val="002A4CF4"/>
    <w:rsid w:val="002A5B58"/>
    <w:rsid w:val="002D4530"/>
    <w:rsid w:val="002D4B66"/>
    <w:rsid w:val="002D5313"/>
    <w:rsid w:val="002D5AE9"/>
    <w:rsid w:val="002D7015"/>
    <w:rsid w:val="002E7252"/>
    <w:rsid w:val="00302302"/>
    <w:rsid w:val="003110CF"/>
    <w:rsid w:val="00317581"/>
    <w:rsid w:val="00323DCC"/>
    <w:rsid w:val="0032728E"/>
    <w:rsid w:val="00332FA5"/>
    <w:rsid w:val="00336F0C"/>
    <w:rsid w:val="003432F6"/>
    <w:rsid w:val="00345470"/>
    <w:rsid w:val="0034730A"/>
    <w:rsid w:val="00351DA8"/>
    <w:rsid w:val="0035264E"/>
    <w:rsid w:val="003674BC"/>
    <w:rsid w:val="003B3199"/>
    <w:rsid w:val="003B3C84"/>
    <w:rsid w:val="003C0FB5"/>
    <w:rsid w:val="003C5518"/>
    <w:rsid w:val="003D6458"/>
    <w:rsid w:val="003F7254"/>
    <w:rsid w:val="00405D1F"/>
    <w:rsid w:val="00422381"/>
    <w:rsid w:val="00425DFF"/>
    <w:rsid w:val="00431514"/>
    <w:rsid w:val="004337EF"/>
    <w:rsid w:val="00444129"/>
    <w:rsid w:val="0046572A"/>
    <w:rsid w:val="00474ABC"/>
    <w:rsid w:val="004771A2"/>
    <w:rsid w:val="004923CE"/>
    <w:rsid w:val="004972F4"/>
    <w:rsid w:val="004B62C6"/>
    <w:rsid w:val="004C062A"/>
    <w:rsid w:val="004C2152"/>
    <w:rsid w:val="004D1BFF"/>
    <w:rsid w:val="004E2170"/>
    <w:rsid w:val="004E5AAE"/>
    <w:rsid w:val="004F2BD5"/>
    <w:rsid w:val="004F551C"/>
    <w:rsid w:val="004F5E30"/>
    <w:rsid w:val="005004D0"/>
    <w:rsid w:val="0050705D"/>
    <w:rsid w:val="005208D0"/>
    <w:rsid w:val="00522522"/>
    <w:rsid w:val="00537822"/>
    <w:rsid w:val="00540831"/>
    <w:rsid w:val="00545045"/>
    <w:rsid w:val="00553269"/>
    <w:rsid w:val="00560889"/>
    <w:rsid w:val="00566ACE"/>
    <w:rsid w:val="00574F48"/>
    <w:rsid w:val="00576469"/>
    <w:rsid w:val="005836F9"/>
    <w:rsid w:val="005900BA"/>
    <w:rsid w:val="00593ECC"/>
    <w:rsid w:val="005A10D1"/>
    <w:rsid w:val="005A2A06"/>
    <w:rsid w:val="005A6170"/>
    <w:rsid w:val="005B05FE"/>
    <w:rsid w:val="005B297A"/>
    <w:rsid w:val="005B5F25"/>
    <w:rsid w:val="005D1C7C"/>
    <w:rsid w:val="005D1F84"/>
    <w:rsid w:val="005F5157"/>
    <w:rsid w:val="006073AA"/>
    <w:rsid w:val="00652250"/>
    <w:rsid w:val="00653567"/>
    <w:rsid w:val="00654A1C"/>
    <w:rsid w:val="00656786"/>
    <w:rsid w:val="0066722C"/>
    <w:rsid w:val="0069697E"/>
    <w:rsid w:val="006C1475"/>
    <w:rsid w:val="006C1D9F"/>
    <w:rsid w:val="006D3BCC"/>
    <w:rsid w:val="006D6B46"/>
    <w:rsid w:val="006D7515"/>
    <w:rsid w:val="006E0648"/>
    <w:rsid w:val="006E1050"/>
    <w:rsid w:val="006E411F"/>
    <w:rsid w:val="007044DB"/>
    <w:rsid w:val="00712490"/>
    <w:rsid w:val="0072005D"/>
    <w:rsid w:val="00721F84"/>
    <w:rsid w:val="00722D33"/>
    <w:rsid w:val="0074297B"/>
    <w:rsid w:val="007539A7"/>
    <w:rsid w:val="007573E3"/>
    <w:rsid w:val="00760714"/>
    <w:rsid w:val="00772390"/>
    <w:rsid w:val="00772C52"/>
    <w:rsid w:val="007975A4"/>
    <w:rsid w:val="00797DDD"/>
    <w:rsid w:val="007A1127"/>
    <w:rsid w:val="007A6906"/>
    <w:rsid w:val="007A6B1F"/>
    <w:rsid w:val="007B15F6"/>
    <w:rsid w:val="007B6437"/>
    <w:rsid w:val="007C1166"/>
    <w:rsid w:val="007C784A"/>
    <w:rsid w:val="007D558A"/>
    <w:rsid w:val="007D64B3"/>
    <w:rsid w:val="007D72AC"/>
    <w:rsid w:val="007F67D7"/>
    <w:rsid w:val="0081365F"/>
    <w:rsid w:val="008203C8"/>
    <w:rsid w:val="00830722"/>
    <w:rsid w:val="00830D9B"/>
    <w:rsid w:val="00840FA3"/>
    <w:rsid w:val="00842BCC"/>
    <w:rsid w:val="00863A72"/>
    <w:rsid w:val="00865416"/>
    <w:rsid w:val="00886414"/>
    <w:rsid w:val="008A3FBB"/>
    <w:rsid w:val="008A6E4E"/>
    <w:rsid w:val="008A6E7D"/>
    <w:rsid w:val="008B1B86"/>
    <w:rsid w:val="008B69EA"/>
    <w:rsid w:val="008C17F1"/>
    <w:rsid w:val="008C2892"/>
    <w:rsid w:val="008C3D79"/>
    <w:rsid w:val="008D4219"/>
    <w:rsid w:val="008E1033"/>
    <w:rsid w:val="008E2BFF"/>
    <w:rsid w:val="008E6DA6"/>
    <w:rsid w:val="008F1ED8"/>
    <w:rsid w:val="00900333"/>
    <w:rsid w:val="00913085"/>
    <w:rsid w:val="00922807"/>
    <w:rsid w:val="00923AA4"/>
    <w:rsid w:val="00927D0A"/>
    <w:rsid w:val="0093563C"/>
    <w:rsid w:val="009401E7"/>
    <w:rsid w:val="00947D0F"/>
    <w:rsid w:val="0095575B"/>
    <w:rsid w:val="00977261"/>
    <w:rsid w:val="009A0390"/>
    <w:rsid w:val="009A575F"/>
    <w:rsid w:val="009A748A"/>
    <w:rsid w:val="009B5EBA"/>
    <w:rsid w:val="009C1559"/>
    <w:rsid w:val="009C3D93"/>
    <w:rsid w:val="009C75B8"/>
    <w:rsid w:val="009D7899"/>
    <w:rsid w:val="009E11F5"/>
    <w:rsid w:val="00A1044C"/>
    <w:rsid w:val="00A152B7"/>
    <w:rsid w:val="00A2034A"/>
    <w:rsid w:val="00A2329F"/>
    <w:rsid w:val="00A32025"/>
    <w:rsid w:val="00A41162"/>
    <w:rsid w:val="00A57676"/>
    <w:rsid w:val="00A60219"/>
    <w:rsid w:val="00A63865"/>
    <w:rsid w:val="00A638AE"/>
    <w:rsid w:val="00A64161"/>
    <w:rsid w:val="00A662F5"/>
    <w:rsid w:val="00A7415C"/>
    <w:rsid w:val="00A75226"/>
    <w:rsid w:val="00A77FD3"/>
    <w:rsid w:val="00A816C0"/>
    <w:rsid w:val="00AA1D25"/>
    <w:rsid w:val="00AA559D"/>
    <w:rsid w:val="00AB3DE7"/>
    <w:rsid w:val="00AB6B37"/>
    <w:rsid w:val="00AC33E0"/>
    <w:rsid w:val="00AF07C8"/>
    <w:rsid w:val="00AF09C9"/>
    <w:rsid w:val="00AF45A1"/>
    <w:rsid w:val="00AF56DC"/>
    <w:rsid w:val="00B0239F"/>
    <w:rsid w:val="00B0438A"/>
    <w:rsid w:val="00B242BF"/>
    <w:rsid w:val="00B26BD5"/>
    <w:rsid w:val="00B31049"/>
    <w:rsid w:val="00B3162E"/>
    <w:rsid w:val="00B36793"/>
    <w:rsid w:val="00B413E0"/>
    <w:rsid w:val="00B51724"/>
    <w:rsid w:val="00B60A7C"/>
    <w:rsid w:val="00B668B1"/>
    <w:rsid w:val="00B81D42"/>
    <w:rsid w:val="00B82813"/>
    <w:rsid w:val="00B85417"/>
    <w:rsid w:val="00B94737"/>
    <w:rsid w:val="00BA184D"/>
    <w:rsid w:val="00BA4368"/>
    <w:rsid w:val="00BA6DD0"/>
    <w:rsid w:val="00BC0372"/>
    <w:rsid w:val="00BC15D6"/>
    <w:rsid w:val="00BC1E6A"/>
    <w:rsid w:val="00BC2C91"/>
    <w:rsid w:val="00BD548E"/>
    <w:rsid w:val="00BE7860"/>
    <w:rsid w:val="00BF1870"/>
    <w:rsid w:val="00BF21D9"/>
    <w:rsid w:val="00BF2EC6"/>
    <w:rsid w:val="00BF44ED"/>
    <w:rsid w:val="00BF6DF6"/>
    <w:rsid w:val="00C11875"/>
    <w:rsid w:val="00C11E6A"/>
    <w:rsid w:val="00C145DE"/>
    <w:rsid w:val="00C224B2"/>
    <w:rsid w:val="00C24C54"/>
    <w:rsid w:val="00C25B6C"/>
    <w:rsid w:val="00C26181"/>
    <w:rsid w:val="00C36B74"/>
    <w:rsid w:val="00C43F28"/>
    <w:rsid w:val="00C4453A"/>
    <w:rsid w:val="00C4621C"/>
    <w:rsid w:val="00C514E6"/>
    <w:rsid w:val="00C57411"/>
    <w:rsid w:val="00C575AA"/>
    <w:rsid w:val="00C81380"/>
    <w:rsid w:val="00C9532A"/>
    <w:rsid w:val="00CA570D"/>
    <w:rsid w:val="00CB0D57"/>
    <w:rsid w:val="00CB2143"/>
    <w:rsid w:val="00CB29E8"/>
    <w:rsid w:val="00CB2F66"/>
    <w:rsid w:val="00CB35E9"/>
    <w:rsid w:val="00CB4475"/>
    <w:rsid w:val="00CC3650"/>
    <w:rsid w:val="00CD0DCB"/>
    <w:rsid w:val="00CD3D24"/>
    <w:rsid w:val="00CE1020"/>
    <w:rsid w:val="00CE13AE"/>
    <w:rsid w:val="00CF24DE"/>
    <w:rsid w:val="00CF282B"/>
    <w:rsid w:val="00CF4EA5"/>
    <w:rsid w:val="00D110FA"/>
    <w:rsid w:val="00D1626B"/>
    <w:rsid w:val="00D22FFB"/>
    <w:rsid w:val="00D27D36"/>
    <w:rsid w:val="00D30028"/>
    <w:rsid w:val="00D3143E"/>
    <w:rsid w:val="00D31935"/>
    <w:rsid w:val="00D32A61"/>
    <w:rsid w:val="00D43384"/>
    <w:rsid w:val="00D44702"/>
    <w:rsid w:val="00D55C48"/>
    <w:rsid w:val="00D57B59"/>
    <w:rsid w:val="00D6218C"/>
    <w:rsid w:val="00D64D32"/>
    <w:rsid w:val="00D67027"/>
    <w:rsid w:val="00D77C3A"/>
    <w:rsid w:val="00D90880"/>
    <w:rsid w:val="00D90B0A"/>
    <w:rsid w:val="00D963C6"/>
    <w:rsid w:val="00DA5395"/>
    <w:rsid w:val="00DA60AA"/>
    <w:rsid w:val="00DB4A48"/>
    <w:rsid w:val="00DB6382"/>
    <w:rsid w:val="00DC0304"/>
    <w:rsid w:val="00DC736E"/>
    <w:rsid w:val="00DD178E"/>
    <w:rsid w:val="00DE02CA"/>
    <w:rsid w:val="00DE6209"/>
    <w:rsid w:val="00DE6E13"/>
    <w:rsid w:val="00DF2C23"/>
    <w:rsid w:val="00E0714C"/>
    <w:rsid w:val="00E120C1"/>
    <w:rsid w:val="00E13FA6"/>
    <w:rsid w:val="00E173FB"/>
    <w:rsid w:val="00E207C5"/>
    <w:rsid w:val="00E2166F"/>
    <w:rsid w:val="00E304D5"/>
    <w:rsid w:val="00E30F47"/>
    <w:rsid w:val="00E32B53"/>
    <w:rsid w:val="00E40A03"/>
    <w:rsid w:val="00E635EE"/>
    <w:rsid w:val="00E65AFC"/>
    <w:rsid w:val="00E7114A"/>
    <w:rsid w:val="00E829D1"/>
    <w:rsid w:val="00E8320D"/>
    <w:rsid w:val="00E85D92"/>
    <w:rsid w:val="00E968C6"/>
    <w:rsid w:val="00EA6F25"/>
    <w:rsid w:val="00EB24AB"/>
    <w:rsid w:val="00EB2ED8"/>
    <w:rsid w:val="00EB3B70"/>
    <w:rsid w:val="00EB6895"/>
    <w:rsid w:val="00EB7E61"/>
    <w:rsid w:val="00EC1012"/>
    <w:rsid w:val="00EC228C"/>
    <w:rsid w:val="00EC434B"/>
    <w:rsid w:val="00EE05E0"/>
    <w:rsid w:val="00EE3DA5"/>
    <w:rsid w:val="00EE4177"/>
    <w:rsid w:val="00EE5DC8"/>
    <w:rsid w:val="00EF2BBE"/>
    <w:rsid w:val="00EF48F5"/>
    <w:rsid w:val="00F0590F"/>
    <w:rsid w:val="00F20831"/>
    <w:rsid w:val="00F328B7"/>
    <w:rsid w:val="00F33EFB"/>
    <w:rsid w:val="00F50915"/>
    <w:rsid w:val="00F543E0"/>
    <w:rsid w:val="00F755AD"/>
    <w:rsid w:val="00F80347"/>
    <w:rsid w:val="00F82987"/>
    <w:rsid w:val="00F87179"/>
    <w:rsid w:val="00F90C08"/>
    <w:rsid w:val="00F95513"/>
    <w:rsid w:val="00FA28A9"/>
    <w:rsid w:val="00FA32B6"/>
    <w:rsid w:val="00FA7D0A"/>
    <w:rsid w:val="00FB7D58"/>
    <w:rsid w:val="00FD0340"/>
    <w:rsid w:val="00FD57C5"/>
    <w:rsid w:val="00FE7458"/>
    <w:rsid w:val="00FF4695"/>
    <w:rsid w:val="00F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878C0B"/>
  <w15:docId w15:val="{4FA379F7-F2C3-4ABD-9AF9-F49A7986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30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5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aliases w:val="Dot point"/>
    <w:basedOn w:val="Normal"/>
    <w:next w:val="Normal"/>
    <w:link w:val="Heading4Char"/>
    <w:uiPriority w:val="9"/>
    <w:unhideWhenUsed/>
    <w:qFormat/>
    <w:rsid w:val="00B413E0"/>
    <w:pPr>
      <w:keepNext/>
      <w:keepLines/>
      <w:numPr>
        <w:numId w:val="5"/>
      </w:numPr>
      <w:spacing w:before="40" w:after="0" w:line="280" w:lineRule="exact"/>
      <w:outlineLvl w:val="3"/>
    </w:pPr>
    <w:rPr>
      <w:rFonts w:ascii="Arial" w:eastAsiaTheme="majorEastAsia" w:hAnsi="Arial" w:cstheme="majorBidi"/>
      <w:i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41E2"/>
    <w:pPr>
      <w:autoSpaceDE w:val="0"/>
      <w:autoSpaceDN w:val="0"/>
      <w:adjustRightInd w:val="0"/>
      <w:spacing w:after="0" w:line="240" w:lineRule="auto"/>
    </w:pPr>
    <w:rPr>
      <w:rFonts w:ascii="MetaPro-Norm" w:hAnsi="MetaPro-Norm" w:cs="MetaPro-Norm"/>
      <w:color w:val="000000"/>
      <w:sz w:val="24"/>
      <w:szCs w:val="24"/>
    </w:rPr>
  </w:style>
  <w:style w:type="character" w:customStyle="1" w:styleId="A5">
    <w:name w:val="A5"/>
    <w:uiPriority w:val="99"/>
    <w:rsid w:val="001C41E2"/>
    <w:rPr>
      <w:rFonts w:cs="MetaPro-Norm"/>
      <w:color w:val="000000"/>
      <w:sz w:val="22"/>
      <w:szCs w:val="22"/>
    </w:rPr>
  </w:style>
  <w:style w:type="paragraph" w:styleId="ListParagraph">
    <w:name w:val="List Paragraph"/>
    <w:aliases w:val="Dot Points (AQ)"/>
    <w:basedOn w:val="Normal"/>
    <w:uiPriority w:val="34"/>
    <w:qFormat/>
    <w:rsid w:val="003110CF"/>
    <w:pPr>
      <w:ind w:left="720"/>
      <w:contextualSpacing/>
    </w:pPr>
  </w:style>
  <w:style w:type="table" w:styleId="TableGrid">
    <w:name w:val="Table Grid"/>
    <w:basedOn w:val="TableNormal"/>
    <w:uiPriority w:val="39"/>
    <w:rsid w:val="008E6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DA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6DA6"/>
    <w:rPr>
      <w:color w:val="605E5C"/>
      <w:shd w:val="clear" w:color="auto" w:fill="E1DFDD"/>
    </w:rPr>
  </w:style>
  <w:style w:type="character" w:customStyle="1" w:styleId="Heading4Char">
    <w:name w:val="Heading 4 Char"/>
    <w:aliases w:val="Dot point Char"/>
    <w:basedOn w:val="DefaultParagraphFont"/>
    <w:link w:val="Heading4"/>
    <w:uiPriority w:val="9"/>
    <w:rsid w:val="00B413E0"/>
    <w:rPr>
      <w:rFonts w:ascii="Arial" w:eastAsiaTheme="majorEastAsia" w:hAnsi="Arial" w:cstheme="majorBidi"/>
      <w:iCs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413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3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3E0"/>
    <w:rPr>
      <w:sz w:val="20"/>
      <w:szCs w:val="20"/>
    </w:rPr>
  </w:style>
  <w:style w:type="paragraph" w:customStyle="1" w:styleId="Dotpointleadintext">
    <w:name w:val="Dot point lead in text"/>
    <w:basedOn w:val="Heading4"/>
    <w:qFormat/>
    <w:rsid w:val="0002281D"/>
    <w:pPr>
      <w:numPr>
        <w:numId w:val="0"/>
      </w:numPr>
      <w:spacing w:before="0" w:after="40" w:line="240" w:lineRule="exact"/>
    </w:pPr>
  </w:style>
  <w:style w:type="paragraph" w:customStyle="1" w:styleId="Finaldotpointtext">
    <w:name w:val="Final dot point text"/>
    <w:basedOn w:val="Dotpointleadintext"/>
    <w:qFormat/>
    <w:rsid w:val="0002281D"/>
    <w:pPr>
      <w:numPr>
        <w:numId w:val="6"/>
      </w:numPr>
      <w:spacing w:before="40" w:line="280" w:lineRule="exact"/>
    </w:pPr>
  </w:style>
  <w:style w:type="character" w:customStyle="1" w:styleId="Heading3Char">
    <w:name w:val="Heading 3 Char"/>
    <w:basedOn w:val="DefaultParagraphFont"/>
    <w:link w:val="Heading3"/>
    <w:uiPriority w:val="9"/>
    <w:rsid w:val="0002281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6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62E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5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DA539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70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027"/>
  </w:style>
  <w:style w:type="paragraph" w:styleId="Footer">
    <w:name w:val="footer"/>
    <w:basedOn w:val="Normal"/>
    <w:link w:val="FooterChar"/>
    <w:uiPriority w:val="99"/>
    <w:unhideWhenUsed/>
    <w:rsid w:val="00D670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027"/>
  </w:style>
  <w:style w:type="paragraph" w:styleId="BalloonText">
    <w:name w:val="Balloon Text"/>
    <w:basedOn w:val="Normal"/>
    <w:link w:val="BalloonTextChar"/>
    <w:uiPriority w:val="99"/>
    <w:semiHidden/>
    <w:unhideWhenUsed/>
    <w:rsid w:val="000C2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CC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95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1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s.qld.gov.au/supporting-documents-for-open-funds" TargetMode="External"/><Relationship Id="rId13" Type="http://schemas.openxmlformats.org/officeDocument/2006/relationships/hyperlink" Target="mailto:investment@arts.qld.gov.a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arts.qld.gov.au/supporting-documents-for-open-fund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tsqueensland.smartygrants.com.a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arts.qld.gov.au/projects-and-initiatives/first-nations-arts-and-cultures-panel/ce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arts.qld.gov.au/supporting-documents-for-open-funds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F3D70-7D01-4E99-93B1-76683D533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Richer</dc:creator>
  <cp:keywords/>
  <dc:description/>
  <cp:lastModifiedBy>Alison Brearley</cp:lastModifiedBy>
  <cp:revision>2</cp:revision>
  <cp:lastPrinted>2023-08-15T03:03:00Z</cp:lastPrinted>
  <dcterms:created xsi:type="dcterms:W3CDTF">2024-08-19T06:12:00Z</dcterms:created>
  <dcterms:modified xsi:type="dcterms:W3CDTF">2024-08-19T06:12:00Z</dcterms:modified>
</cp:coreProperties>
</file>